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pPr>
      <w:r>
        <w:drawing xmlns:a="http://schemas.openxmlformats.org/drawingml/2006/main">
          <wp:anchor distT="152400" distB="152400" distL="152400" distR="152400" simplePos="0" relativeHeight="251659264" behindDoc="0" locked="0" layoutInCell="1" allowOverlap="1">
            <wp:simplePos x="0" y="0"/>
            <wp:positionH relativeFrom="margin">
              <wp:posOffset>4476750</wp:posOffset>
            </wp:positionH>
            <wp:positionV relativeFrom="page">
              <wp:posOffset>701040</wp:posOffset>
            </wp:positionV>
            <wp:extent cx="1107618" cy="1209338"/>
            <wp:effectExtent l="0" t="0" r="0" b="0"/>
            <wp:wrapThrough wrapText="bothSides" distL="152400" distR="152400">
              <wp:wrapPolygon edited="1">
                <wp:start x="0" y="0"/>
                <wp:lineTo x="21600" y="0"/>
                <wp:lineTo x="21600" y="21600"/>
                <wp:lineTo x="0" y="21600"/>
                <wp:lineTo x="0" y="0"/>
              </wp:wrapPolygon>
            </wp:wrapThrough>
            <wp:docPr id="1073741825" name="officeArt object" descr="Screenshot 2024-09-04 at 9.24.45 PM.png"/>
            <wp:cNvGraphicFramePr/>
            <a:graphic xmlns:a="http://schemas.openxmlformats.org/drawingml/2006/main">
              <a:graphicData uri="http://schemas.openxmlformats.org/drawingml/2006/picture">
                <pic:pic xmlns:pic="http://schemas.openxmlformats.org/drawingml/2006/picture">
                  <pic:nvPicPr>
                    <pic:cNvPr id="1073741825" name="Screenshot 2024-09-04 at 9.24.45 PM.png" descr="Screenshot 2024-09-04 at 9.24.45 PM.png"/>
                    <pic:cNvPicPr>
                      <a:picLocks noChangeAspect="1"/>
                    </pic:cNvPicPr>
                  </pic:nvPicPr>
                  <pic:blipFill>
                    <a:blip r:embed="rId4">
                      <a:extLst/>
                    </a:blip>
                    <a:stretch>
                      <a:fillRect/>
                    </a:stretch>
                  </pic:blipFill>
                  <pic:spPr>
                    <a:xfrm>
                      <a:off x="0" y="0"/>
                      <a:ext cx="1107618" cy="1209338"/>
                    </a:xfrm>
                    <a:prstGeom prst="rect">
                      <a:avLst/>
                    </a:prstGeom>
                    <a:ln w="12700" cap="flat">
                      <a:noFill/>
                      <a:miter lim="400000"/>
                    </a:ln>
                    <a:effectLst/>
                  </pic:spPr>
                </pic:pic>
              </a:graphicData>
            </a:graphic>
          </wp:anchor>
        </w:drawing>
      </w:r>
    </w:p>
    <w:p>
      <w:pPr>
        <w:pStyle w:val="Body"/>
        <w:jc w:val="both"/>
        <w:rPr>
          <w:b w:val="1"/>
          <w:bCs w:val="1"/>
        </w:rPr>
      </w:pPr>
    </w:p>
    <w:p>
      <w:pPr>
        <w:pStyle w:val="Body"/>
        <w:jc w:val="both"/>
        <w:rPr>
          <w:b w:val="1"/>
          <w:bCs w:val="1"/>
        </w:rPr>
      </w:pPr>
    </w:p>
    <w:p>
      <w:pPr>
        <w:pStyle w:val="Body"/>
        <w:jc w:val="both"/>
        <w:rPr>
          <w:b w:val="1"/>
          <w:bCs w:val="1"/>
        </w:rPr>
      </w:pPr>
      <w:r>
        <w:rPr>
          <w:b w:val="1"/>
          <w:bCs w:val="1"/>
          <w:rtl w:val="0"/>
          <w:lang w:val="en-US"/>
        </w:rPr>
        <w:t xml:space="preserve">Semester exercise 2024/2025 -Vignette -Groups RJ              </w:t>
      </w:r>
    </w:p>
    <w:p>
      <w:pPr>
        <w:pStyle w:val="Body"/>
        <w:jc w:val="both"/>
      </w:pPr>
    </w:p>
    <w:p>
      <w:pPr>
        <w:pStyle w:val="Body"/>
        <w:jc w:val="both"/>
      </w:pPr>
    </w:p>
    <w:p>
      <w:pPr>
        <w:pStyle w:val="Body"/>
        <w:jc w:val="both"/>
        <w:rPr>
          <w:b w:val="1"/>
          <w:bCs w:val="1"/>
        </w:rPr>
      </w:pPr>
    </w:p>
    <w:p>
      <w:pPr>
        <w:pStyle w:val="Body"/>
        <w:jc w:val="both"/>
        <w:rPr>
          <w:b w:val="1"/>
          <w:bCs w:val="1"/>
          <w:sz w:val="32"/>
          <w:szCs w:val="32"/>
          <w:u w:val="single"/>
        </w:rPr>
      </w:pPr>
      <w:r>
        <w:rPr>
          <w:b w:val="1"/>
          <w:bCs w:val="1"/>
          <w:sz w:val="32"/>
          <w:szCs w:val="32"/>
          <w:rtl w:val="0"/>
          <w:lang w:val="en-US"/>
        </w:rPr>
        <w:t>Development of an experimental paradigm to investigate the effect of tTIS on neurotransmitter levels</w:t>
      </w:r>
    </w:p>
    <w:p>
      <w:pPr>
        <w:pStyle w:val="Body"/>
        <w:jc w:val="both"/>
        <w:rPr>
          <w:b w:val="1"/>
          <w:bCs w:val="1"/>
          <w:u w:val="single"/>
        </w:rPr>
      </w:pPr>
    </w:p>
    <w:p>
      <w:pPr>
        <w:pStyle w:val="Body"/>
        <w:jc w:val="both"/>
        <w:rPr>
          <w:sz w:val="24"/>
          <w:szCs w:val="24"/>
        </w:rPr>
      </w:pPr>
      <w:r>
        <w:rPr>
          <w:rtl w:val="0"/>
          <w:lang w:val="en-US"/>
        </w:rPr>
        <w:t>Non-invasive brain stimulation (NIBS) techniques offer a powerful tool to modulate brain function and have been implemented</w:t>
      </w:r>
      <w:r>
        <w:rPr>
          <w:sz w:val="24"/>
          <w:szCs w:val="24"/>
          <w:rtl w:val="0"/>
        </w:rPr>
        <w:t xml:space="preserve"> f</w:t>
      </w:r>
      <w:r>
        <w:rPr>
          <w:rtl w:val="0"/>
          <w:lang w:val="en-US"/>
        </w:rPr>
        <w:t>or the treatment of a variety of neurological disorders</w:t>
      </w:r>
      <w:r>
        <w:rPr>
          <w:sz w:val="24"/>
          <w:szCs w:val="24"/>
          <w:rtl w:val="0"/>
        </w:rPr>
        <w:t xml:space="preserve"> </w:t>
      </w:r>
      <w:r>
        <w:rPr>
          <w:rtl w:val="0"/>
          <w:lang w:val="fr-FR"/>
        </w:rPr>
        <w:t>(Lefaucher, et al</w:t>
      </w:r>
      <w:r>
        <w:rPr>
          <w:sz w:val="24"/>
          <w:szCs w:val="24"/>
          <w:rtl w:val="0"/>
        </w:rPr>
        <w:t xml:space="preserve">., </w:t>
      </w:r>
      <w:r>
        <w:rPr>
          <w:rtl w:val="0"/>
        </w:rPr>
        <w:t>2014</w:t>
      </w:r>
      <w:r>
        <w:rPr>
          <w:sz w:val="24"/>
          <w:szCs w:val="24"/>
          <w:rtl w:val="0"/>
        </w:rPr>
        <w:t>;</w:t>
      </w:r>
      <w:r>
        <w:rPr>
          <w:rtl w:val="0"/>
        </w:rPr>
        <w:t xml:space="preserve"> Kesikburun</w:t>
      </w:r>
      <w:r>
        <w:rPr>
          <w:sz w:val="24"/>
          <w:szCs w:val="24"/>
          <w:rtl w:val="0"/>
        </w:rPr>
        <w:t xml:space="preserve">, </w:t>
      </w:r>
      <w:r>
        <w:rPr>
          <w:rtl w:val="0"/>
        </w:rPr>
        <w:t>2022</w:t>
      </w:r>
      <w:r>
        <w:rPr>
          <w:sz w:val="24"/>
          <w:szCs w:val="24"/>
          <w:rtl w:val="0"/>
        </w:rPr>
        <w:t xml:space="preserve">). </w:t>
      </w:r>
      <w:r>
        <w:rPr>
          <w:rtl w:val="0"/>
          <w:lang w:val="en-US"/>
        </w:rPr>
        <w:t>However, until recently NIBS have been limited to targeting superficial layers of cortex due to their steep depth-focality trade-off (Deng et al., 2013; Nurmi et al., 2021).</w:t>
      </w:r>
      <w:r>
        <w:rPr>
          <w:sz w:val="24"/>
          <w:szCs w:val="24"/>
          <w:rtl w:val="0"/>
        </w:rPr>
        <w:t xml:space="preserve"> </w:t>
      </w:r>
      <w:r>
        <w:rPr>
          <w:rtl w:val="0"/>
          <w:lang w:val="en-US"/>
        </w:rPr>
        <w:t>The development of transcranial temporal interference stimulation (tTIS) has, for the first time, allowed for the non-invasive stimulation of deep brain regions (Grossman, et al., 2017).</w:t>
      </w:r>
    </w:p>
    <w:p>
      <w:pPr>
        <w:pStyle w:val="Body"/>
        <w:jc w:val="both"/>
        <w:rPr>
          <w:sz w:val="24"/>
          <w:szCs w:val="24"/>
        </w:rPr>
      </w:pPr>
      <w:r>
        <w:rPr>
          <w:rtl w:val="0"/>
          <w:lang w:val="en-US"/>
        </w:rPr>
        <w:t>Recent studies have demonstrated a plethora of effects arising from tTIS applied to different brain regions. Theta-burst tTIS applied to the striatum was seen to enhance motor learning in healthy older adults (Wessel, Beanato, et al., 2023). 80Hz tTIS applied to the striatum affected reinforcement learning (Vassiliadis et al. 2024). Yang, et al (2024) demonstrated alleviated motor symptoms of Parkinson</w:t>
      </w:r>
      <w:r>
        <w:rPr>
          <w:rtl w:val="1"/>
        </w:rPr>
        <w:t>’</w:t>
      </w:r>
      <w:r>
        <w:rPr>
          <w:rtl w:val="0"/>
          <w:lang w:val="en-US"/>
        </w:rPr>
        <w:t>s patients by applying 130Hz tTIS to the globus pallidus interna. Applying 130Hz pulse-width modulated tTIS to the hippocampus of epilepsy patients was shown to decrease fast ripples in the hippocampus of epilepsy patients (Acerbo, et al 2022).</w:t>
      </w:r>
    </w:p>
    <w:p>
      <w:pPr>
        <w:pStyle w:val="Body"/>
        <w:jc w:val="both"/>
        <w:rPr>
          <w:sz w:val="24"/>
          <w:szCs w:val="24"/>
        </w:rPr>
      </w:pPr>
      <w:r>
        <w:rPr>
          <w:rtl w:val="0"/>
          <w:lang w:val="en-US"/>
        </w:rPr>
        <w:t xml:space="preserve">As a novel technique in the field of NIBS, the underlying mechanisms of tTIS remain not completely understood. One key missing link is the effect of tTIS on neurotransmission, such as GABA-/Glutamate-ergic, which can help to elucidate the mechanisms underpinning its function and thus improve future applications of tTIS. Systems neuroscience technologies such as Magnetic resonance spectroscopy (MRS), an imaging technique which allows for the quantification of neurotransmitter levels in a given region of interest (Hangel, et al., 2022; Mangia, et al., 2008) or TMS/TMS-EEG technologies that allow to determine intracortical neurotransmitter systems (e.g., Harquel et al. 2024, Heise et al. 2013). As such, they provide useful technologies which different properties that allow in-vivo in humans to investigate the neurotransmitter dynamics underpinning the behavioural effects that arise from tTIS. </w:t>
      </w:r>
    </w:p>
    <w:p>
      <w:pPr>
        <w:pStyle w:val="Body"/>
        <w:jc w:val="both"/>
        <w:rPr>
          <w:b w:val="1"/>
          <w:bCs w:val="1"/>
          <w:u w:val="single"/>
        </w:rPr>
      </w:pPr>
      <w:r>
        <w:rPr>
          <w:b w:val="1"/>
          <w:bCs w:val="1"/>
          <w:rtl w:val="0"/>
          <w:lang w:val="en-US"/>
        </w:rPr>
        <w:t>Assignment</w:t>
      </w:r>
    </w:p>
    <w:p>
      <w:pPr>
        <w:pStyle w:val="Body"/>
        <w:jc w:val="both"/>
        <w:rPr>
          <w:sz w:val="24"/>
          <w:szCs w:val="24"/>
        </w:rPr>
      </w:pPr>
      <w:r>
        <w:rPr>
          <w:rtl w:val="0"/>
          <w:lang w:val="en-US"/>
        </w:rPr>
        <w:t>Your task is to develop an experimental paradigm which will allow to determine the effects of tTIS on a specific population of neurotransmitters in a deep brain region of your choosing by using MRS. There must be a behavioural correlate of this application of tTIS so employ an appropriate task which can be incorporated into a tTIS-MRS experimental design.</w:t>
      </w:r>
      <w:r>
        <w:rPr>
          <w:sz w:val="24"/>
          <w:szCs w:val="24"/>
          <w:rtl w:val="0"/>
        </w:rPr>
        <w:t xml:space="preserve"> </w:t>
      </w:r>
    </w:p>
    <w:p>
      <w:pPr>
        <w:pStyle w:val="Body"/>
        <w:jc w:val="both"/>
        <w:rPr>
          <w:b w:val="1"/>
          <w:bCs w:val="1"/>
          <w:sz w:val="24"/>
          <w:szCs w:val="24"/>
          <w:u w:val="single"/>
        </w:rPr>
      </w:pPr>
      <w:r>
        <w:rPr>
          <w:b w:val="1"/>
          <w:bCs w:val="1"/>
          <w:rtl w:val="0"/>
          <w:lang w:val="nl-NL"/>
        </w:rPr>
        <w:t>Challenges</w:t>
      </w:r>
    </w:p>
    <w:p>
      <w:pPr>
        <w:pStyle w:val="List Paragraph"/>
        <w:numPr>
          <w:ilvl w:val="0"/>
          <w:numId w:val="2"/>
        </w:numPr>
        <w:bidi w:val="0"/>
        <w:ind w:right="0"/>
        <w:jc w:val="both"/>
        <w:rPr>
          <w:rtl w:val="0"/>
          <w:lang w:val="en-US"/>
        </w:rPr>
      </w:pPr>
      <w:r>
        <w:rPr>
          <w:rtl w:val="0"/>
          <w:lang w:val="en-US"/>
        </w:rPr>
        <w:t>To understand what frequency and pattern of TI will best modulate your target region, consider the neuronal populations present and what stimulation parameters past studies used.</w:t>
      </w:r>
    </w:p>
    <w:p>
      <w:pPr>
        <w:pStyle w:val="List Paragraph"/>
        <w:numPr>
          <w:ilvl w:val="0"/>
          <w:numId w:val="2"/>
        </w:numPr>
        <w:bidi w:val="0"/>
        <w:ind w:right="0"/>
        <w:jc w:val="both"/>
        <w:rPr>
          <w:rtl w:val="0"/>
          <w:lang w:val="en-US"/>
        </w:rPr>
      </w:pPr>
      <w:r>
        <w:rPr>
          <w:rtl w:val="0"/>
          <w:lang w:val="en-US"/>
        </w:rPr>
        <w:t>To identify a behavioural task which can be performed inside the MRI scanner and will elicit a behavioural effect related to your region of interest.</w:t>
      </w:r>
    </w:p>
    <w:p>
      <w:pPr>
        <w:pStyle w:val="List Paragraph"/>
        <w:numPr>
          <w:ilvl w:val="0"/>
          <w:numId w:val="2"/>
        </w:numPr>
        <w:bidi w:val="0"/>
        <w:ind w:right="0"/>
        <w:jc w:val="both"/>
        <w:rPr>
          <w:rtl w:val="0"/>
          <w:lang w:val="en-US"/>
        </w:rPr>
      </w:pPr>
      <w:r>
        <w:rPr>
          <w:rtl w:val="0"/>
          <w:lang w:val="en-US"/>
        </w:rPr>
        <w:t>To understand which neurotransmitters are most abundant in your target region, and which are most relevant to the behavioural outcome you</w:t>
      </w:r>
      <w:r>
        <w:rPr>
          <w:rtl w:val="0"/>
          <w:lang w:val="en-US"/>
        </w:rPr>
        <w:t>’</w:t>
      </w:r>
      <w:r>
        <w:rPr>
          <w:rtl w:val="0"/>
          <w:lang w:val="en-US"/>
        </w:rPr>
        <w:t>re looking at (note which can be detected by MRS).</w:t>
      </w:r>
    </w:p>
    <w:p>
      <w:pPr>
        <w:pStyle w:val="List Paragraph"/>
        <w:numPr>
          <w:ilvl w:val="0"/>
          <w:numId w:val="3"/>
        </w:numPr>
        <w:bidi w:val="0"/>
        <w:ind w:right="0"/>
        <w:jc w:val="both"/>
        <w:rPr>
          <w:sz w:val="22"/>
          <w:szCs w:val="22"/>
          <w:rtl w:val="0"/>
          <w:lang w:val="en-US"/>
        </w:rPr>
      </w:pPr>
      <w:r>
        <w:rPr>
          <w:sz w:val="22"/>
          <w:szCs w:val="22"/>
          <w:rtl w:val="0"/>
          <w:lang w:val="en-US"/>
        </w:rPr>
        <w:t>Design an experimental paradigm which combines a task, a type of tTIS, and MRS measurements that will effectively probe a behavioural output linked to your target</w:t>
      </w:r>
      <w:r>
        <w:rPr>
          <w:sz w:val="24"/>
          <w:szCs w:val="24"/>
          <w:rtl w:val="0"/>
          <w:lang w:val="en-US"/>
        </w:rPr>
        <w:t xml:space="preserve"> </w:t>
      </w:r>
    </w:p>
    <w:p>
      <w:pPr>
        <w:pStyle w:val="List Paragraph"/>
        <w:ind w:left="0" w:firstLine="0"/>
        <w:jc w:val="both"/>
        <w:rPr>
          <w:sz w:val="24"/>
          <w:szCs w:val="24"/>
        </w:rPr>
      </w:pPr>
    </w:p>
    <w:p>
      <w:pPr>
        <w:pStyle w:val="Body"/>
        <w:jc w:val="both"/>
        <w:rPr>
          <w:b w:val="1"/>
          <w:bCs w:val="1"/>
          <w:sz w:val="24"/>
          <w:szCs w:val="24"/>
          <w:u w:val="single"/>
        </w:rPr>
      </w:pPr>
      <w:r>
        <w:rPr>
          <w:b w:val="1"/>
          <w:bCs w:val="1"/>
          <w:sz w:val="24"/>
          <w:szCs w:val="24"/>
          <w:rtl w:val="0"/>
          <w:lang w:val="fr-FR"/>
        </w:rPr>
        <w:t>References</w:t>
      </w:r>
    </w:p>
    <w:p>
      <w:pPr>
        <w:pStyle w:val="Body"/>
        <w:jc w:val="both"/>
        <w:rPr>
          <w:sz w:val="18"/>
          <w:szCs w:val="18"/>
        </w:rPr>
      </w:pPr>
      <w:r>
        <w:rPr>
          <w:sz w:val="18"/>
          <w:szCs w:val="18"/>
          <w:rtl w:val="0"/>
          <w:lang w:val="en-US"/>
        </w:rPr>
        <w:t xml:space="preserve">Acerbo, E., Jegou, A., Luff, C., Dzialecka, P., Botzanowski, B., Missey, F., Ngom, I., Lagarde, S., Bartolomei, F., Cassara, A., Neufeld, E., Jirsa, V., Carron, R., Grossman, N., Williamson, A. (2022). Focal non-invasive deep-brain stimulation with temporal interference for the suppression of epileptic biomarkers. Frontiers in Neuroscience, 16. </w:t>
      </w:r>
      <w:r>
        <w:rPr>
          <w:rStyle w:val="Hyperlink.0"/>
          <w:sz w:val="18"/>
          <w:szCs w:val="18"/>
        </w:rPr>
        <w:fldChar w:fldCharType="begin" w:fldLock="0"/>
      </w:r>
      <w:r>
        <w:rPr>
          <w:rStyle w:val="Hyperlink.0"/>
          <w:sz w:val="18"/>
          <w:szCs w:val="18"/>
        </w:rPr>
        <w:instrText xml:space="preserve"> HYPERLINK "https://www.frontiersin.org/journals/neuroscience/articles/10.3389/fnins.2022.945221/full"</w:instrText>
      </w:r>
      <w:r>
        <w:rPr>
          <w:rStyle w:val="Hyperlink.0"/>
          <w:sz w:val="18"/>
          <w:szCs w:val="18"/>
        </w:rPr>
        <w:fldChar w:fldCharType="separate" w:fldLock="0"/>
      </w:r>
      <w:r>
        <w:rPr>
          <w:rStyle w:val="Hyperlink.0"/>
          <w:sz w:val="18"/>
          <w:szCs w:val="18"/>
          <w:rtl w:val="0"/>
          <w:lang w:val="fr-FR"/>
        </w:rPr>
        <w:t>https://www.frontiersin.org/journals/neuroscience/articles/10.3389/fnins.2022.945221/full</w:t>
      </w:r>
      <w:r>
        <w:rPr>
          <w:sz w:val="18"/>
          <w:szCs w:val="18"/>
        </w:rPr>
        <w:fldChar w:fldCharType="end" w:fldLock="0"/>
      </w:r>
      <w:r>
        <w:rPr>
          <w:sz w:val="18"/>
          <w:szCs w:val="18"/>
          <w:rtl w:val="0"/>
        </w:rPr>
        <w:t xml:space="preserve"> </w:t>
      </w:r>
    </w:p>
    <w:p>
      <w:pPr>
        <w:pStyle w:val="Body"/>
        <w:jc w:val="both"/>
        <w:rPr>
          <w:sz w:val="18"/>
          <w:szCs w:val="18"/>
        </w:rPr>
      </w:pPr>
      <w:r>
        <w:rPr>
          <w:sz w:val="18"/>
          <w:szCs w:val="18"/>
          <w:rtl w:val="0"/>
          <w:lang w:val="en-US"/>
        </w:rPr>
        <w:t>Deng, Z.-D., Lisanby, S. H., &amp; Peterchev, A. V. (2013). Electric field depth</w:t>
      </w:r>
      <w:r>
        <w:rPr>
          <w:sz w:val="18"/>
          <w:szCs w:val="18"/>
          <w:rtl w:val="0"/>
        </w:rPr>
        <w:t>–</w:t>
      </w:r>
      <w:r>
        <w:rPr>
          <w:sz w:val="18"/>
          <w:szCs w:val="18"/>
          <w:rtl w:val="0"/>
          <w:lang w:val="en-US"/>
        </w:rPr>
        <w:t>focality tradeoff in transcranial magnetic stimulation: Simulation comparison of 50 coil designs. Brain Stimulation, 6 (1), 1</w:t>
      </w:r>
      <w:r>
        <w:rPr>
          <w:sz w:val="18"/>
          <w:szCs w:val="18"/>
          <w:rtl w:val="0"/>
        </w:rPr>
        <w:t>–</w:t>
      </w:r>
      <w:r>
        <w:rPr>
          <w:sz w:val="18"/>
          <w:szCs w:val="18"/>
          <w:rtl w:val="0"/>
        </w:rPr>
        <w:t xml:space="preserve">13. </w:t>
      </w:r>
      <w:r>
        <w:rPr>
          <w:rStyle w:val="Hyperlink.0"/>
          <w:sz w:val="18"/>
          <w:szCs w:val="18"/>
        </w:rPr>
        <w:fldChar w:fldCharType="begin" w:fldLock="0"/>
      </w:r>
      <w:r>
        <w:rPr>
          <w:rStyle w:val="Hyperlink.0"/>
          <w:sz w:val="18"/>
          <w:szCs w:val="18"/>
        </w:rPr>
        <w:instrText xml:space="preserve"> HYPERLINK "https://doi.org/10.1016/j.brs.2012.02.005"</w:instrText>
      </w:r>
      <w:r>
        <w:rPr>
          <w:rStyle w:val="Hyperlink.0"/>
          <w:sz w:val="18"/>
          <w:szCs w:val="18"/>
        </w:rPr>
        <w:fldChar w:fldCharType="separate" w:fldLock="0"/>
      </w:r>
      <w:r>
        <w:rPr>
          <w:rStyle w:val="Hyperlink.0"/>
          <w:sz w:val="18"/>
          <w:szCs w:val="18"/>
          <w:rtl w:val="0"/>
        </w:rPr>
        <w:t>https://doi.org/10.1016/j.brs.2012.02.005</w:t>
      </w:r>
      <w:r>
        <w:rPr>
          <w:sz w:val="18"/>
          <w:szCs w:val="18"/>
        </w:rPr>
        <w:fldChar w:fldCharType="end" w:fldLock="0"/>
      </w:r>
      <w:r>
        <w:rPr>
          <w:sz w:val="18"/>
          <w:szCs w:val="18"/>
          <w:rtl w:val="0"/>
        </w:rPr>
        <w:t xml:space="preserve"> </w:t>
      </w:r>
    </w:p>
    <w:p>
      <w:pPr>
        <w:pStyle w:val="Body"/>
        <w:jc w:val="both"/>
        <w:rPr>
          <w:sz w:val="18"/>
          <w:szCs w:val="18"/>
        </w:rPr>
      </w:pPr>
      <w:r>
        <w:rPr>
          <w:sz w:val="18"/>
          <w:szCs w:val="18"/>
          <w:rtl w:val="0"/>
          <w:lang w:val="en-US"/>
        </w:rPr>
        <w:t xml:space="preserve">Grossman, N., Bono, D., Dedic, N., Kodandaramaiah, S. B., Rudenko, A., Suk, H-J., Cassara, A. M., Neufeld, E., Kuster, N., Tsai, L-H., Pascual-Leone, A., Boyden, E. S. (2017). Noninvasive Deep Brain Stimulation via Temporally Interfering Electric Fields. Cell. 169:1029-1041.e16. </w:t>
      </w:r>
      <w:r>
        <w:rPr>
          <w:rStyle w:val="Hyperlink.1"/>
          <w:sz w:val="18"/>
          <w:szCs w:val="18"/>
        </w:rPr>
        <w:fldChar w:fldCharType="begin" w:fldLock="0"/>
      </w:r>
      <w:r>
        <w:rPr>
          <w:rStyle w:val="Hyperlink.1"/>
          <w:sz w:val="18"/>
          <w:szCs w:val="18"/>
        </w:rPr>
        <w:instrText xml:space="preserve"> HYPERLINK "https://www.sciencedirect.com/science/article/pii/S0092867417305846?via=ihub"</w:instrText>
      </w:r>
      <w:r>
        <w:rPr>
          <w:rStyle w:val="Hyperlink.1"/>
          <w:sz w:val="18"/>
          <w:szCs w:val="18"/>
        </w:rPr>
        <w:fldChar w:fldCharType="separate" w:fldLock="0"/>
      </w:r>
      <w:r>
        <w:rPr>
          <w:rStyle w:val="Hyperlink.1"/>
          <w:sz w:val="18"/>
          <w:szCs w:val="18"/>
          <w:rtl w:val="0"/>
          <w:lang w:val="de-DE"/>
        </w:rPr>
        <w:t>https://www.sciencedirect.com/science/article/pii/S0092867417305846?via=ihub</w:t>
      </w:r>
      <w:r>
        <w:rPr>
          <w:sz w:val="18"/>
          <w:szCs w:val="18"/>
        </w:rPr>
        <w:fldChar w:fldCharType="end" w:fldLock="0"/>
      </w:r>
      <w:r>
        <w:rPr>
          <w:sz w:val="18"/>
          <w:szCs w:val="18"/>
          <w:rtl w:val="0"/>
          <w:lang w:val="de-DE"/>
        </w:rPr>
        <w:t xml:space="preserve"> </w:t>
      </w:r>
    </w:p>
    <w:p>
      <w:pPr>
        <w:pStyle w:val="Body"/>
        <w:jc w:val="both"/>
        <w:rPr>
          <w:sz w:val="18"/>
          <w:szCs w:val="18"/>
        </w:rPr>
      </w:pPr>
      <w:r>
        <w:rPr>
          <w:sz w:val="18"/>
          <w:szCs w:val="18"/>
          <w:rtl w:val="0"/>
          <w:lang w:val="de-DE"/>
        </w:rPr>
        <w:t xml:space="preserve">Hangel, G., Niess, E., Lazen, P., Bednarik, P., Bogner, W., &amp; Bernhard Strasse. </w:t>
      </w:r>
      <w:r>
        <w:rPr>
          <w:sz w:val="18"/>
          <w:szCs w:val="18"/>
          <w:rtl w:val="0"/>
          <w:lang w:val="en-US"/>
        </w:rPr>
        <w:t xml:space="preserve">(2022). Emerging methods and applications of ultra-high field MR spectroscopic imaging in the human brain. Analytical Biochemistry, 638. </w:t>
      </w:r>
      <w:r>
        <w:rPr>
          <w:rStyle w:val="Hyperlink.0"/>
          <w:sz w:val="18"/>
          <w:szCs w:val="18"/>
        </w:rPr>
        <w:fldChar w:fldCharType="begin" w:fldLock="0"/>
      </w:r>
      <w:r>
        <w:rPr>
          <w:rStyle w:val="Hyperlink.0"/>
          <w:sz w:val="18"/>
          <w:szCs w:val="18"/>
        </w:rPr>
        <w:instrText xml:space="preserve"> HYPERLINK "https://doi.org/10.1016/j.ab.2021.114479"</w:instrText>
      </w:r>
      <w:r>
        <w:rPr>
          <w:rStyle w:val="Hyperlink.0"/>
          <w:sz w:val="18"/>
          <w:szCs w:val="18"/>
        </w:rPr>
        <w:fldChar w:fldCharType="separate" w:fldLock="0"/>
      </w:r>
      <w:r>
        <w:rPr>
          <w:rStyle w:val="Hyperlink.0"/>
          <w:sz w:val="18"/>
          <w:szCs w:val="18"/>
          <w:rtl w:val="0"/>
          <w:lang w:val="en-US"/>
        </w:rPr>
        <w:t>https://doi.org/10.1016/j.ab.2021.114479</w:t>
      </w:r>
      <w:r>
        <w:rPr>
          <w:sz w:val="18"/>
          <w:szCs w:val="18"/>
        </w:rPr>
        <w:fldChar w:fldCharType="end" w:fldLock="0"/>
      </w:r>
      <w:r>
        <w:rPr>
          <w:sz w:val="18"/>
          <w:szCs w:val="18"/>
          <w:rtl w:val="0"/>
        </w:rPr>
        <w:t xml:space="preserve">. </w:t>
      </w:r>
    </w:p>
    <w:p>
      <w:pPr>
        <w:pStyle w:val="Body"/>
        <w:jc w:val="both"/>
        <w:rPr>
          <w:sz w:val="24"/>
          <w:szCs w:val="24"/>
        </w:rPr>
      </w:pPr>
      <w:r>
        <w:rPr>
          <w:sz w:val="18"/>
          <w:szCs w:val="18"/>
          <w:rtl w:val="0"/>
          <w:lang w:val="de-DE"/>
        </w:rPr>
        <w:t xml:space="preserve">Heise KF, Zimerman M, Hoppe J, Gerloff C, Wegscheider K, Hummel FC. </w:t>
      </w:r>
      <w:r>
        <w:rPr>
          <w:sz w:val="18"/>
          <w:szCs w:val="18"/>
          <w:rtl w:val="0"/>
          <w:lang w:val="en-US"/>
        </w:rPr>
        <w:t xml:space="preserve">(2013) The aging motor system as a model for plastic changes of GABA-mediated intracortical inhibition and their behavioral relevance. </w:t>
      </w:r>
      <w:r>
        <w:rPr>
          <w:sz w:val="18"/>
          <w:szCs w:val="18"/>
          <w:rtl w:val="0"/>
          <w:lang w:val="de-DE"/>
        </w:rPr>
        <w:t>J Neurosci. May 22;33(21):9039-49. doi: 10.1523/JNEUROSCI.4094-12.2013.</w:t>
      </w:r>
    </w:p>
    <w:p>
      <w:pPr>
        <w:pStyle w:val="Body"/>
        <w:jc w:val="both"/>
        <w:rPr>
          <w:sz w:val="18"/>
          <w:szCs w:val="18"/>
        </w:rPr>
      </w:pPr>
      <w:r>
        <w:rPr>
          <w:sz w:val="18"/>
          <w:szCs w:val="18"/>
          <w:rtl w:val="0"/>
          <w:lang w:val="de-DE"/>
        </w:rPr>
        <w:t>Harquel S, Cadic-Melchior A, Morishita T, Fleury L, Witon A, Ceroni M, Br</w:t>
      </w:r>
      <w:r>
        <w:rPr>
          <w:sz w:val="18"/>
          <w:szCs w:val="18"/>
          <w:rtl w:val="0"/>
          <w:lang w:val="de-DE"/>
        </w:rPr>
        <w:t>ü</w:t>
      </w:r>
      <w:r>
        <w:rPr>
          <w:sz w:val="18"/>
          <w:szCs w:val="18"/>
          <w:rtl w:val="0"/>
          <w:lang w:val="de-DE"/>
        </w:rPr>
        <w:t>gger J, Meyer NH, Evangelista GG, Egger P, Beanato E, Menoud P, Van de Ville D, Micera S, Blanke O, L</w:t>
      </w:r>
      <w:r>
        <w:rPr>
          <w:sz w:val="18"/>
          <w:szCs w:val="18"/>
          <w:rtl w:val="0"/>
          <w:lang w:val="de-DE"/>
        </w:rPr>
        <w:t>é</w:t>
      </w:r>
      <w:r>
        <w:rPr>
          <w:sz w:val="18"/>
          <w:szCs w:val="18"/>
          <w:rtl w:val="0"/>
          <w:lang w:val="de-DE"/>
        </w:rPr>
        <w:t>ger B, Adolphsen J, Jagella C, Constantin C, Alvarez V, Vuadens P, Turlan JL, M</w:t>
      </w:r>
      <w:r>
        <w:rPr>
          <w:sz w:val="18"/>
          <w:szCs w:val="18"/>
          <w:rtl w:val="0"/>
          <w:lang w:val="de-DE"/>
        </w:rPr>
        <w:t>ü</w:t>
      </w:r>
      <w:r>
        <w:rPr>
          <w:sz w:val="18"/>
          <w:szCs w:val="18"/>
          <w:rtl w:val="0"/>
          <w:lang w:val="de-DE"/>
        </w:rPr>
        <w:t xml:space="preserve">hl A, Bonvin C, Koch PJ, Wessel MJ, Hummel FC. </w:t>
      </w:r>
      <w:r>
        <w:rPr>
          <w:sz w:val="18"/>
          <w:szCs w:val="18"/>
          <w:rtl w:val="0"/>
          <w:lang w:val="en-US"/>
        </w:rPr>
        <w:t>(2024) Stroke Recovery-Related Changes in Cortical Reactivity Based on Modulation of Intracortical Inhibition Stroke. Jun;55(6):1629-1640. doi: 10.1161/STROKEAHA.123.045174. Epub 2024 Apr 19.</w:t>
      </w:r>
    </w:p>
    <w:p>
      <w:pPr>
        <w:pStyle w:val="Body"/>
        <w:jc w:val="both"/>
        <w:rPr>
          <w:sz w:val="24"/>
          <w:szCs w:val="24"/>
        </w:rPr>
      </w:pPr>
      <w:r>
        <w:rPr>
          <w:sz w:val="18"/>
          <w:szCs w:val="18"/>
          <w:rtl w:val="0"/>
          <w:lang w:val="en-US"/>
        </w:rPr>
        <w:t xml:space="preserve">Kesikburun, S. (2022). Non-invasive brain stimulation in rehabilitation. Turk J Phys Med Rehabil, 68(1), 1-8. </w:t>
      </w:r>
      <w:r>
        <w:rPr>
          <w:rStyle w:val="Hyperlink.0"/>
          <w:sz w:val="18"/>
          <w:szCs w:val="18"/>
        </w:rPr>
        <w:fldChar w:fldCharType="begin" w:fldLock="0"/>
      </w:r>
      <w:r>
        <w:rPr>
          <w:rStyle w:val="Hyperlink.0"/>
          <w:sz w:val="18"/>
          <w:szCs w:val="18"/>
        </w:rPr>
        <w:instrText xml:space="preserve"> HYPERLINK "https://www.ncbi.nlm.nih.gov/pmc/articles/PMC9305642/"</w:instrText>
      </w:r>
      <w:r>
        <w:rPr>
          <w:rStyle w:val="Hyperlink.0"/>
          <w:sz w:val="18"/>
          <w:szCs w:val="18"/>
        </w:rPr>
        <w:fldChar w:fldCharType="separate" w:fldLock="0"/>
      </w:r>
      <w:r>
        <w:rPr>
          <w:rStyle w:val="Hyperlink.0"/>
          <w:sz w:val="18"/>
          <w:szCs w:val="18"/>
          <w:rtl w:val="0"/>
          <w:lang w:val="en-US"/>
        </w:rPr>
        <w:t>https://www.ncbi.nlm.nih.gov/pmc/articles/PMC9305642/</w:t>
      </w:r>
      <w:r>
        <w:rPr>
          <w:sz w:val="18"/>
          <w:szCs w:val="18"/>
        </w:rPr>
        <w:fldChar w:fldCharType="end" w:fldLock="0"/>
      </w:r>
    </w:p>
    <w:p>
      <w:pPr>
        <w:pStyle w:val="Body"/>
        <w:jc w:val="both"/>
        <w:rPr>
          <w:sz w:val="18"/>
          <w:szCs w:val="18"/>
        </w:rPr>
      </w:pPr>
      <w:r>
        <w:rPr>
          <w:sz w:val="18"/>
          <w:szCs w:val="18"/>
          <w:rtl w:val="0"/>
          <w:lang w:val="fr-FR"/>
        </w:rPr>
        <w:t>Lefaucheur, J.P., Andr</w:t>
      </w:r>
      <w:r>
        <w:rPr>
          <w:sz w:val="18"/>
          <w:szCs w:val="18"/>
          <w:rtl w:val="0"/>
          <w:lang w:val="fr-FR"/>
        </w:rPr>
        <w:t>é</w:t>
      </w:r>
      <w:r>
        <w:rPr>
          <w:sz w:val="18"/>
          <w:szCs w:val="18"/>
          <w:rtl w:val="0"/>
          <w:lang w:val="pt-PT"/>
        </w:rPr>
        <w:t>-Obadia, N., Antal, A., Ayache, S.S., Baeken, C., Benninger, D.H., Cantello, R.M., Cincotta, M., de Carvalho, M., De Ridder, D., Devanne, H., Di Lazzaro, V., Filipovi</w:t>
      </w:r>
      <w:r>
        <w:rPr>
          <w:sz w:val="18"/>
          <w:szCs w:val="18"/>
          <w:rtl w:val="0"/>
        </w:rPr>
        <w:t>ć</w:t>
      </w:r>
      <w:r>
        <w:rPr>
          <w:sz w:val="18"/>
          <w:szCs w:val="18"/>
          <w:rtl w:val="0"/>
          <w:lang w:val="it-IT"/>
        </w:rPr>
        <w:t>, S.R., Hummel, F.C., J</w:t>
      </w:r>
      <w:r>
        <w:rPr>
          <w:sz w:val="18"/>
          <w:szCs w:val="18"/>
          <w:rtl w:val="0"/>
        </w:rPr>
        <w:t>ää</w:t>
      </w:r>
      <w:r>
        <w:rPr>
          <w:sz w:val="18"/>
          <w:szCs w:val="18"/>
          <w:rtl w:val="0"/>
        </w:rPr>
        <w:t>skel</w:t>
      </w:r>
      <w:r>
        <w:rPr>
          <w:sz w:val="18"/>
          <w:szCs w:val="18"/>
          <w:rtl w:val="0"/>
        </w:rPr>
        <w:t>ä</w:t>
      </w:r>
      <w:r>
        <w:rPr>
          <w:sz w:val="18"/>
          <w:szCs w:val="18"/>
          <w:rtl w:val="0"/>
          <w:lang w:val="de-DE"/>
        </w:rPr>
        <w:t>inen, S.K., Kimiskidis, V.K., Koch, G., Langguth, B., Nyffeler, T., Oliviero, A., Padberg, F., Poulet, E., Rossi, S., Rossini, P.M., Rothwell, J.C., Sch</w:t>
      </w:r>
      <w:r>
        <w:rPr>
          <w:sz w:val="18"/>
          <w:szCs w:val="18"/>
          <w:rtl w:val="0"/>
          <w:lang w:val="sv-SE"/>
        </w:rPr>
        <w:t>ö</w:t>
      </w:r>
      <w:r>
        <w:rPr>
          <w:sz w:val="18"/>
          <w:szCs w:val="18"/>
          <w:rtl w:val="0"/>
          <w:lang w:val="it-IT"/>
        </w:rPr>
        <w:t xml:space="preserve">nfeldt-Lecuona, C., Siebner, H.R., Slotema, C.W., Stagg, C.J., Valls-Sole, J., Ziemann, U., Paulus, W. and Garcia-Larrea, L. (2014) </w:t>
      </w:r>
      <w:r>
        <w:rPr>
          <w:sz w:val="18"/>
          <w:szCs w:val="18"/>
          <w:rtl w:val="1"/>
        </w:rPr>
        <w:t>‘</w:t>
      </w:r>
      <w:r>
        <w:rPr>
          <w:sz w:val="18"/>
          <w:szCs w:val="18"/>
          <w:rtl w:val="0"/>
          <w:lang w:val="en-US"/>
        </w:rPr>
        <w:t>Evidence-based guidelines on the therapeutic use of repetitive transcranial magnetic stimulation (rTMS)</w:t>
      </w:r>
      <w:r>
        <w:rPr>
          <w:sz w:val="18"/>
          <w:szCs w:val="18"/>
          <w:rtl w:val="1"/>
        </w:rPr>
        <w:t>’</w:t>
      </w:r>
      <w:r>
        <w:rPr>
          <w:sz w:val="18"/>
          <w:szCs w:val="18"/>
          <w:rtl w:val="0"/>
          <w:lang w:val="en-US"/>
        </w:rPr>
        <w:t>, Clinical Neurophysiology. 125(11), pp. 2150</w:t>
      </w:r>
      <w:r>
        <w:rPr>
          <w:sz w:val="18"/>
          <w:szCs w:val="18"/>
          <w:rtl w:val="0"/>
        </w:rPr>
        <w:t>–</w:t>
      </w:r>
      <w:r>
        <w:rPr>
          <w:sz w:val="18"/>
          <w:szCs w:val="18"/>
          <w:rtl w:val="0"/>
        </w:rPr>
        <w:t xml:space="preserve">2206. </w:t>
      </w:r>
      <w:r>
        <w:rPr>
          <w:rStyle w:val="Hyperlink.0"/>
          <w:sz w:val="18"/>
          <w:szCs w:val="18"/>
        </w:rPr>
        <w:fldChar w:fldCharType="begin" w:fldLock="0"/>
      </w:r>
      <w:r>
        <w:rPr>
          <w:rStyle w:val="Hyperlink.0"/>
          <w:sz w:val="18"/>
          <w:szCs w:val="18"/>
        </w:rPr>
        <w:instrText xml:space="preserve"> HYPERLINK "https://doi.org/10.1016/j.clinph.2014.05.021"</w:instrText>
      </w:r>
      <w:r>
        <w:rPr>
          <w:rStyle w:val="Hyperlink.0"/>
          <w:sz w:val="18"/>
          <w:szCs w:val="18"/>
        </w:rPr>
        <w:fldChar w:fldCharType="separate" w:fldLock="0"/>
      </w:r>
      <w:r>
        <w:rPr>
          <w:rStyle w:val="Hyperlink.0"/>
          <w:sz w:val="18"/>
          <w:szCs w:val="18"/>
          <w:rtl w:val="0"/>
          <w:lang w:val="en-US"/>
        </w:rPr>
        <w:t>https://doi.org/10.1016/j.clinph.2014.05.021</w:t>
      </w:r>
      <w:r>
        <w:rPr>
          <w:sz w:val="18"/>
          <w:szCs w:val="18"/>
        </w:rPr>
        <w:fldChar w:fldCharType="end" w:fldLock="0"/>
      </w:r>
      <w:r>
        <w:rPr>
          <w:sz w:val="18"/>
          <w:szCs w:val="18"/>
          <w:rtl w:val="0"/>
        </w:rPr>
        <w:t xml:space="preserve">. </w:t>
      </w:r>
    </w:p>
    <w:p>
      <w:pPr>
        <w:pStyle w:val="Body"/>
        <w:jc w:val="both"/>
        <w:rPr>
          <w:sz w:val="18"/>
          <w:szCs w:val="18"/>
        </w:rPr>
      </w:pPr>
      <w:r>
        <w:rPr>
          <w:sz w:val="18"/>
          <w:szCs w:val="18"/>
          <w:rtl w:val="0"/>
          <w:lang w:val="it-IT"/>
        </w:rPr>
        <w:t>Mangia, S., Giove, F., Tk</w:t>
      </w:r>
      <w:r>
        <w:rPr>
          <w:sz w:val="18"/>
          <w:szCs w:val="18"/>
          <w:rtl w:val="0"/>
        </w:rPr>
        <w:t>áč</w:t>
      </w:r>
      <w:r>
        <w:rPr>
          <w:sz w:val="18"/>
          <w:szCs w:val="18"/>
          <w:rtl w:val="0"/>
          <w:lang w:val="en-US"/>
        </w:rPr>
        <w:t xml:space="preserve">, I., et al. (2009). Metabolic and Hemodynamic Events after Changes in Neuronal Activity: Current Hypotheses, Theoretical Predictions and in vivo NMR Experimental Findings. Journal of Cerebral Blood Flow &amp; Metabolism, 29(3):441-463. </w:t>
      </w:r>
      <w:r>
        <w:rPr>
          <w:rStyle w:val="Hyperlink.0"/>
          <w:sz w:val="18"/>
          <w:szCs w:val="18"/>
        </w:rPr>
        <w:fldChar w:fldCharType="begin" w:fldLock="0"/>
      </w:r>
      <w:r>
        <w:rPr>
          <w:rStyle w:val="Hyperlink.0"/>
          <w:sz w:val="18"/>
          <w:szCs w:val="18"/>
        </w:rPr>
        <w:instrText xml:space="preserve"> HYPERLINK "https://journals.sagepub.com/doi/10.1038/jcbfm.2008.134"</w:instrText>
      </w:r>
      <w:r>
        <w:rPr>
          <w:rStyle w:val="Hyperlink.0"/>
          <w:sz w:val="18"/>
          <w:szCs w:val="18"/>
        </w:rPr>
        <w:fldChar w:fldCharType="separate" w:fldLock="0"/>
      </w:r>
      <w:r>
        <w:rPr>
          <w:rStyle w:val="Hyperlink.0"/>
          <w:sz w:val="18"/>
          <w:szCs w:val="18"/>
          <w:rtl w:val="0"/>
          <w:lang w:val="en-US"/>
        </w:rPr>
        <w:t>https://journals.sagepub.com/doi/10.1038/jcbfm.2008.134</w:t>
      </w:r>
      <w:r>
        <w:rPr>
          <w:sz w:val="18"/>
          <w:szCs w:val="18"/>
        </w:rPr>
        <w:fldChar w:fldCharType="end" w:fldLock="0"/>
      </w:r>
      <w:r>
        <w:rPr>
          <w:sz w:val="18"/>
          <w:szCs w:val="18"/>
          <w:rtl w:val="0"/>
        </w:rPr>
        <w:t xml:space="preserve"> </w:t>
      </w:r>
    </w:p>
    <w:p>
      <w:pPr>
        <w:pStyle w:val="Body"/>
        <w:jc w:val="both"/>
        <w:rPr>
          <w:sz w:val="18"/>
          <w:szCs w:val="18"/>
        </w:rPr>
      </w:pPr>
      <w:r>
        <w:rPr>
          <w:sz w:val="18"/>
          <w:szCs w:val="18"/>
          <w:rtl w:val="0"/>
          <w:lang w:val="de-DE"/>
        </w:rPr>
        <w:t xml:space="preserve">Nurmi, S., Karttunen, J., Souza, V. H., Ilmoniemi, R. J., &amp; Nieminen, J. O. (2021). </w:t>
      </w:r>
      <w:r>
        <w:rPr>
          <w:sz w:val="18"/>
          <w:szCs w:val="18"/>
          <w:rtl w:val="0"/>
          <w:lang w:val="en-US"/>
        </w:rPr>
        <w:t xml:space="preserve">Trade-off between stimulation focality and the number of coils in multi-locus transcranial magnetic stimulation. Journal of Neural Engineering, 18 (6), 066003. </w:t>
      </w:r>
      <w:r>
        <w:rPr>
          <w:rStyle w:val="Hyperlink.0"/>
          <w:sz w:val="18"/>
          <w:szCs w:val="18"/>
        </w:rPr>
        <w:fldChar w:fldCharType="begin" w:fldLock="0"/>
      </w:r>
      <w:r>
        <w:rPr>
          <w:rStyle w:val="Hyperlink.0"/>
          <w:sz w:val="18"/>
          <w:szCs w:val="18"/>
        </w:rPr>
        <w:instrText xml:space="preserve"> HYPERLINK "https://doi.org/10.1088/1741-%25202552/ac3207"</w:instrText>
      </w:r>
      <w:r>
        <w:rPr>
          <w:rStyle w:val="Hyperlink.0"/>
          <w:sz w:val="18"/>
          <w:szCs w:val="18"/>
        </w:rPr>
        <w:fldChar w:fldCharType="separate" w:fldLock="0"/>
      </w:r>
      <w:r>
        <w:rPr>
          <w:rStyle w:val="Hyperlink.0"/>
          <w:sz w:val="18"/>
          <w:szCs w:val="18"/>
          <w:rtl w:val="0"/>
          <w:lang w:val="en-US"/>
        </w:rPr>
        <w:t>https://doi.org/10.1088/1741- 2552/ac3207</w:t>
      </w:r>
      <w:r>
        <w:rPr>
          <w:sz w:val="18"/>
          <w:szCs w:val="18"/>
        </w:rPr>
        <w:fldChar w:fldCharType="end" w:fldLock="0"/>
      </w:r>
    </w:p>
    <w:p>
      <w:pPr>
        <w:pStyle w:val="Body"/>
        <w:jc w:val="both"/>
      </w:pPr>
      <w:r>
        <w:rPr>
          <w:sz w:val="18"/>
          <w:szCs w:val="18"/>
          <w:rtl w:val="0"/>
          <w:lang w:val="de-DE"/>
        </w:rPr>
        <w:t>Vassiliadis P, Beanato E, Popa T, Windel F, Morishita T, Neufeld E, Duque J, Derosiere G, Wessel MJ,</w:t>
      </w:r>
      <w:r>
        <w:rPr>
          <w:sz w:val="18"/>
          <w:szCs w:val="18"/>
          <w:rtl w:val="0"/>
          <w:lang w:val="de-DE"/>
        </w:rPr>
        <w:t> </w:t>
      </w:r>
      <w:r>
        <w:rPr>
          <w:sz w:val="18"/>
          <w:szCs w:val="18"/>
          <w:rtl w:val="0"/>
          <w:lang w:val="de-DE"/>
        </w:rPr>
        <w:t xml:space="preserve">Hummel FC. </w:t>
      </w:r>
      <w:r>
        <w:rPr/>
        <w:fldChar w:fldCharType="begin" w:fldLock="0"/>
      </w:r>
      <w:r>
        <w:instrText xml:space="preserve"> HYPERLINK "https://pubmed.ncbi.nlm.nih.gov/38811696/"</w:instrText>
      </w:r>
      <w:r>
        <w:rPr/>
        <w:fldChar w:fldCharType="separate" w:fldLock="0"/>
      </w:r>
      <w:r>
        <w:rPr>
          <w:rtl w:val="0"/>
          <w:lang w:val="en-US"/>
        </w:rPr>
        <w:t>Non-invasive stimulation of the human striatum disrupts reinforcement learning of motor skills.</w:t>
      </w:r>
      <w:r>
        <w:rPr/>
        <w:fldChar w:fldCharType="end" w:fldLock="0"/>
      </w:r>
      <w:r>
        <w:rPr>
          <w:sz w:val="24"/>
          <w:szCs w:val="24"/>
          <w:rtl w:val="0"/>
        </w:rPr>
        <w:t xml:space="preserve"> </w:t>
      </w:r>
      <w:r>
        <w:rPr>
          <w:sz w:val="18"/>
          <w:szCs w:val="18"/>
          <w:rtl w:val="0"/>
          <w:lang w:val="en-US"/>
        </w:rPr>
        <w:t>(2024) Nat Hum Behav. Aug;8(8):1581-1598. https://doi: 10.1038/s41562-024-01901-z  .  Epub 2024 May 29.</w:t>
      </w:r>
    </w:p>
    <w:p>
      <w:pPr>
        <w:pStyle w:val="Body"/>
        <w:jc w:val="both"/>
        <w:rPr>
          <w:sz w:val="24"/>
          <w:szCs w:val="24"/>
        </w:rPr>
      </w:pPr>
      <w:r>
        <w:rPr>
          <w:sz w:val="18"/>
          <w:szCs w:val="18"/>
          <w:rtl w:val="0"/>
          <w:lang w:val="en-US"/>
        </w:rPr>
        <w:t xml:space="preserve">Wessel, M. J., Beanato, E., Popa, T., Windel, F., Vassiliadis, P., Menoud, P., Beliaeva, V., Violante, I. R., Abderrahmane, H., Dzialecka, P., Park, C-H., Maceira-Elvira, P., Morishita, T., Cassara, A., Steiner, M., Grossman, N., Neufeld, E., Hummel, F. C. (2024). LTP-like noninvasive striatal brain stimulation enhances striatal activity and motor skill learning in humans. Nature Neuroscience, 26. </w:t>
      </w:r>
      <w:r>
        <w:rPr>
          <w:rStyle w:val="Hyperlink.2"/>
        </w:rPr>
        <w:fldChar w:fldCharType="begin" w:fldLock="0"/>
      </w:r>
      <w:r>
        <w:rPr>
          <w:rStyle w:val="Hyperlink.2"/>
        </w:rPr>
        <w:instrText xml:space="preserve"> HYPERLINK "https://www.nature.com/articles/s41593-023-01457-7"</w:instrText>
      </w:r>
      <w:r>
        <w:rPr>
          <w:rStyle w:val="Hyperlink.2"/>
        </w:rPr>
        <w:fldChar w:fldCharType="separate" w:fldLock="0"/>
      </w:r>
      <w:r>
        <w:rPr>
          <w:rStyle w:val="Hyperlink.2"/>
          <w:rtl w:val="0"/>
          <w:lang w:val="en-US"/>
        </w:rPr>
        <w:t>https://www.nature.com/articles/s41593-023-01457-7</w:t>
      </w:r>
      <w:r>
        <w:rPr/>
        <w:fldChar w:fldCharType="end" w:fldLock="0"/>
      </w:r>
      <w:r>
        <w:rPr>
          <w:sz w:val="24"/>
          <w:szCs w:val="24"/>
          <w:rtl w:val="0"/>
        </w:rPr>
        <w:t xml:space="preserve"> </w:t>
      </w:r>
    </w:p>
    <w:p>
      <w:pPr>
        <w:pStyle w:val="Body"/>
        <w:jc w:val="both"/>
      </w:pPr>
      <w:r>
        <w:rPr>
          <w:sz w:val="18"/>
          <w:szCs w:val="18"/>
          <w:rtl w:val="0"/>
        </w:rPr>
        <w:t>Yang, C., Xu, Y., Feng, X., Wang, B., Du, Y., Wang, K., L</w:t>
      </w:r>
      <w:r>
        <w:rPr>
          <w:sz w:val="18"/>
          <w:szCs w:val="18"/>
          <w:rtl w:val="0"/>
        </w:rPr>
        <w:t>ü</w:t>
      </w:r>
      <w:r>
        <w:rPr>
          <w:sz w:val="18"/>
          <w:szCs w:val="18"/>
          <w:rtl w:val="0"/>
          <w:lang w:val="en-US"/>
        </w:rPr>
        <w:t xml:space="preserve">, J., Huang, L., Qian, Z., Wang, Z., Chen, N., Zhou, J., Zhang, C. and Liu, Y. (2024), Transcranial Temporal Interference Stimulation of the Right Globus Pallidus in Parkinson's Disease. Mov Disord. </w:t>
      </w:r>
      <w:r>
        <w:rPr>
          <w:rStyle w:val="Hyperlink.2"/>
        </w:rPr>
        <w:fldChar w:fldCharType="begin" w:fldLock="0"/>
      </w:r>
      <w:r>
        <w:rPr>
          <w:rStyle w:val="Hyperlink.2"/>
        </w:rPr>
        <w:instrText xml:space="preserve"> HYPERLINK "https://doi.org/10.1002/mds.29967"</w:instrText>
      </w:r>
      <w:r>
        <w:rPr>
          <w:rStyle w:val="Hyperlink.2"/>
        </w:rPr>
        <w:fldChar w:fldCharType="separate" w:fldLock="0"/>
      </w:r>
      <w:r>
        <w:rPr>
          <w:rStyle w:val="Hyperlink.2"/>
          <w:rtl w:val="0"/>
          <w:lang w:val="en-US"/>
        </w:rPr>
        <w:t>https://doi.org/10.1002/mds.29967</w:t>
      </w:r>
      <w:r>
        <w:rPr/>
        <w:fldChar w:fldCharType="end" w:fldLock="0"/>
      </w:r>
      <w:r>
        <w:rPr>
          <w:sz w:val="24"/>
          <w:szCs w:val="24"/>
          <w:rtl w:val="0"/>
        </w:rPr>
        <w:t xml:space="preserve"> </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4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1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3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lang w:val="de-DE"/>
    </w:rPr>
  </w:style>
  <w:style w:type="character" w:styleId="Hyperlink.2">
    <w:name w:val="Hyperlink.2"/>
    <w:basedOn w:val="Hyperlink.0"/>
    <w:next w:val="Hyperlink.2"/>
    <w:rPr>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