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69D5" w14:textId="5048B722" w:rsidR="009D63F5" w:rsidRPr="00662D08" w:rsidRDefault="00753754" w:rsidP="00662D08">
      <w:pPr>
        <w:jc w:val="both"/>
        <w:rPr>
          <w:rFonts w:asciiTheme="minorHAnsi" w:hAnsiTheme="minorHAnsi" w:cstheme="minorHAnsi"/>
          <w:b/>
          <w:bCs/>
          <w:lang w:val="en-US"/>
        </w:rPr>
      </w:pPr>
      <w:r w:rsidRPr="00F47A75">
        <w:rPr>
          <w:noProof/>
          <w:lang w:val="en-US"/>
        </w:rPr>
        <w:drawing>
          <wp:anchor distT="0" distB="0" distL="114300" distR="114300" simplePos="0" relativeHeight="251658240" behindDoc="1" locked="0" layoutInCell="1" allowOverlap="1" wp14:anchorId="528F35B7" wp14:editId="7EA344D8">
            <wp:simplePos x="0" y="0"/>
            <wp:positionH relativeFrom="column">
              <wp:posOffset>4266565</wp:posOffset>
            </wp:positionH>
            <wp:positionV relativeFrom="paragraph">
              <wp:posOffset>0</wp:posOffset>
            </wp:positionV>
            <wp:extent cx="1484312" cy="1660677"/>
            <wp:effectExtent l="0" t="0" r="1905" b="0"/>
            <wp:wrapTight wrapText="bothSides">
              <wp:wrapPolygon edited="0">
                <wp:start x="0" y="0"/>
                <wp:lineTo x="0" y="21311"/>
                <wp:lineTo x="21350" y="21311"/>
                <wp:lineTo x="21350" y="0"/>
                <wp:lineTo x="0" y="0"/>
              </wp:wrapPolygon>
            </wp:wrapTight>
            <wp:docPr id="903243407" name="Picture 1" descr="A brain with a device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91117" name="Picture 1" descr="A brain with a device attached to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4312" cy="1660677"/>
                    </a:xfrm>
                    <a:prstGeom prst="rect">
                      <a:avLst/>
                    </a:prstGeom>
                  </pic:spPr>
                </pic:pic>
              </a:graphicData>
            </a:graphic>
            <wp14:sizeRelH relativeFrom="margin">
              <wp14:pctWidth>0</wp14:pctWidth>
            </wp14:sizeRelH>
            <wp14:sizeRelV relativeFrom="margin">
              <wp14:pctHeight>0</wp14:pctHeight>
            </wp14:sizeRelV>
          </wp:anchor>
        </w:drawing>
      </w:r>
      <w:r w:rsidR="009D63F5" w:rsidRPr="00662D08">
        <w:rPr>
          <w:rFonts w:asciiTheme="minorHAnsi" w:hAnsiTheme="minorHAnsi" w:cstheme="minorHAnsi"/>
          <w:b/>
          <w:bCs/>
          <w:lang w:val="en-US"/>
        </w:rPr>
        <w:t>Nx-4</w:t>
      </w:r>
      <w:r w:rsidR="00B545A7" w:rsidRPr="00662D08">
        <w:rPr>
          <w:rFonts w:asciiTheme="minorHAnsi" w:hAnsiTheme="minorHAnsi" w:cstheme="minorHAnsi"/>
          <w:b/>
          <w:bCs/>
          <w:lang w:val="en-US"/>
        </w:rPr>
        <w:t>36</w:t>
      </w:r>
      <w:r w:rsidR="009D63F5" w:rsidRPr="00662D08">
        <w:rPr>
          <w:rFonts w:asciiTheme="minorHAnsi" w:hAnsiTheme="minorHAnsi" w:cstheme="minorHAnsi"/>
          <w:b/>
          <w:bCs/>
          <w:lang w:val="en-US"/>
        </w:rPr>
        <w:t xml:space="preserve"> exercise</w:t>
      </w:r>
    </w:p>
    <w:p w14:paraId="2487D491" w14:textId="7C70CB86" w:rsidR="009D63F5" w:rsidRPr="00662D08" w:rsidRDefault="00B545A7" w:rsidP="00662D08">
      <w:pPr>
        <w:jc w:val="both"/>
        <w:rPr>
          <w:rFonts w:asciiTheme="minorHAnsi" w:hAnsiTheme="minorHAnsi" w:cstheme="minorHAnsi"/>
          <w:b/>
          <w:bCs/>
          <w:lang w:val="en-US"/>
        </w:rPr>
      </w:pPr>
      <w:r w:rsidRPr="00662D08">
        <w:rPr>
          <w:rFonts w:asciiTheme="minorHAnsi" w:hAnsiTheme="minorHAnsi" w:cstheme="minorHAnsi"/>
          <w:b/>
          <w:bCs/>
          <w:lang w:val="en-US"/>
        </w:rPr>
        <w:t>Optogenetics project</w:t>
      </w:r>
    </w:p>
    <w:p w14:paraId="49BCE612" w14:textId="77777777" w:rsidR="009D63F5" w:rsidRPr="00662D08" w:rsidRDefault="009D63F5" w:rsidP="00662D08">
      <w:pPr>
        <w:jc w:val="both"/>
        <w:rPr>
          <w:rFonts w:asciiTheme="minorHAnsi" w:hAnsiTheme="minorHAnsi" w:cstheme="minorHAnsi"/>
          <w:b/>
          <w:bCs/>
          <w:color w:val="212121"/>
          <w:shd w:val="clear" w:color="auto" w:fill="FFFFFF"/>
          <w:lang w:val="en-US"/>
        </w:rPr>
      </w:pPr>
    </w:p>
    <w:p w14:paraId="4464CF3C" w14:textId="745BF392" w:rsidR="009201CC" w:rsidRPr="00662D08" w:rsidRDefault="009201CC" w:rsidP="00662D08">
      <w:pPr>
        <w:jc w:val="both"/>
        <w:rPr>
          <w:rFonts w:asciiTheme="minorHAnsi" w:hAnsiTheme="minorHAnsi" w:cstheme="minorHAnsi"/>
          <w:b/>
          <w:bCs/>
          <w:color w:val="212121"/>
          <w:shd w:val="clear" w:color="auto" w:fill="FFFFFF"/>
          <w:lang w:val="en-US"/>
        </w:rPr>
      </w:pPr>
      <w:r w:rsidRPr="00662D08">
        <w:rPr>
          <w:rFonts w:asciiTheme="minorHAnsi" w:hAnsiTheme="minorHAnsi" w:cstheme="minorHAnsi"/>
          <w:b/>
          <w:bCs/>
          <w:color w:val="212121"/>
          <w:shd w:val="clear" w:color="auto" w:fill="FFFFFF"/>
          <w:lang w:val="en-US"/>
        </w:rPr>
        <w:t>Close</w:t>
      </w:r>
      <w:r w:rsidR="00421219" w:rsidRPr="00662D08">
        <w:rPr>
          <w:rFonts w:asciiTheme="minorHAnsi" w:hAnsiTheme="minorHAnsi" w:cstheme="minorHAnsi"/>
          <w:b/>
          <w:bCs/>
          <w:color w:val="212121"/>
          <w:shd w:val="clear" w:color="auto" w:fill="FFFFFF"/>
          <w:lang w:val="en-US"/>
        </w:rPr>
        <w:t>d</w:t>
      </w:r>
      <w:r w:rsidRPr="00662D08">
        <w:rPr>
          <w:rFonts w:asciiTheme="minorHAnsi" w:hAnsiTheme="minorHAnsi" w:cstheme="minorHAnsi"/>
          <w:b/>
          <w:bCs/>
          <w:color w:val="212121"/>
          <w:shd w:val="clear" w:color="auto" w:fill="FFFFFF"/>
          <w:lang w:val="en-US"/>
        </w:rPr>
        <w:t xml:space="preserve">-Loop </w:t>
      </w:r>
      <w:r w:rsidR="00C33385" w:rsidRPr="00662D08">
        <w:rPr>
          <w:rFonts w:asciiTheme="minorHAnsi" w:hAnsiTheme="minorHAnsi" w:cstheme="minorHAnsi"/>
          <w:b/>
          <w:bCs/>
          <w:color w:val="212121"/>
          <w:shd w:val="clear" w:color="auto" w:fill="FFFFFF"/>
          <w:lang w:val="en-US"/>
        </w:rPr>
        <w:t>optogenetically activated</w:t>
      </w:r>
      <w:r w:rsidRPr="00662D08">
        <w:rPr>
          <w:rFonts w:asciiTheme="minorHAnsi" w:hAnsiTheme="minorHAnsi" w:cstheme="minorHAnsi"/>
          <w:b/>
          <w:bCs/>
          <w:color w:val="212121"/>
          <w:shd w:val="clear" w:color="auto" w:fill="FFFFFF"/>
          <w:lang w:val="en-US"/>
        </w:rPr>
        <w:t xml:space="preserve"> control system </w:t>
      </w:r>
      <w:r w:rsidR="00B545A7" w:rsidRPr="00662D08">
        <w:rPr>
          <w:rFonts w:asciiTheme="minorHAnsi" w:hAnsiTheme="minorHAnsi" w:cstheme="minorHAnsi"/>
          <w:b/>
          <w:bCs/>
          <w:color w:val="212121"/>
          <w:shd w:val="clear" w:color="auto" w:fill="FFFFFF"/>
          <w:lang w:val="en-US"/>
        </w:rPr>
        <w:t xml:space="preserve">for dopaminergic </w:t>
      </w:r>
      <w:r w:rsidR="00EF40A8" w:rsidRPr="00662D08">
        <w:rPr>
          <w:rFonts w:asciiTheme="minorHAnsi" w:hAnsiTheme="minorHAnsi" w:cstheme="minorHAnsi"/>
          <w:b/>
          <w:bCs/>
          <w:color w:val="212121"/>
          <w:shd w:val="clear" w:color="auto" w:fill="FFFFFF"/>
          <w:lang w:val="en-US"/>
        </w:rPr>
        <w:t>neurons.</w:t>
      </w:r>
    </w:p>
    <w:p w14:paraId="05FECD01" w14:textId="4898B4AD" w:rsidR="009201CC" w:rsidRPr="00662D08" w:rsidRDefault="009201CC" w:rsidP="00662D08">
      <w:pPr>
        <w:jc w:val="both"/>
        <w:rPr>
          <w:rFonts w:asciiTheme="minorHAnsi" w:hAnsiTheme="minorHAnsi" w:cstheme="minorHAnsi"/>
          <w:color w:val="212121"/>
          <w:shd w:val="clear" w:color="auto" w:fill="FFFFFF"/>
          <w:lang w:val="en-US"/>
        </w:rPr>
      </w:pPr>
    </w:p>
    <w:p w14:paraId="65038C03" w14:textId="4B1E4283" w:rsidR="00A276AB" w:rsidRPr="00662D08" w:rsidRDefault="00D36192" w:rsidP="00662D08">
      <w:pPr>
        <w:jc w:val="both"/>
        <w:rPr>
          <w:rFonts w:asciiTheme="minorHAnsi" w:hAnsiTheme="minorHAnsi" w:cstheme="minorHAnsi"/>
          <w:color w:val="212121"/>
          <w:shd w:val="clear" w:color="auto" w:fill="FFFFFF"/>
          <w:lang w:val="en-US"/>
        </w:rPr>
      </w:pPr>
      <w:r w:rsidRPr="00662D08">
        <w:rPr>
          <w:rFonts w:asciiTheme="minorHAnsi" w:hAnsiTheme="minorHAnsi" w:cstheme="minorHAnsi"/>
          <w:color w:val="212121"/>
          <w:shd w:val="clear" w:color="auto" w:fill="FFFFFF"/>
          <w:lang w:val="en-US"/>
        </w:rPr>
        <w:t xml:space="preserve">Optogenetics is a potent experimental technique that enables precise control over the activity of specific neuronal cells within the brain. It involves the introduction of specialized light-sensitive photoreceptors into targeted cells, rendering them photosensitive and amenable to external manipulation through light exposure. Notably, light-gated ion channels known as opsins, such as channelrhodopsins (ChR2), are delivered into these cells via various methods, including viral vectors or genetic modifications. Opsins respond to specific wavelengths of light by either opening or closing, allowing researchers to modulate neuronal </w:t>
      </w:r>
      <w:r w:rsidR="00A276AB" w:rsidRPr="00662D08">
        <w:rPr>
          <w:rFonts w:asciiTheme="minorHAnsi" w:hAnsiTheme="minorHAnsi" w:cstheme="minorHAnsi"/>
          <w:color w:val="212121"/>
          <w:shd w:val="clear" w:color="auto" w:fill="FFFFFF"/>
          <w:lang w:val="en-US"/>
        </w:rPr>
        <w:t>excita</w:t>
      </w:r>
      <w:r w:rsidR="00A276AB">
        <w:rPr>
          <w:rFonts w:asciiTheme="minorHAnsi" w:hAnsiTheme="minorHAnsi" w:cstheme="minorHAnsi"/>
          <w:color w:val="212121"/>
          <w:shd w:val="clear" w:color="auto" w:fill="FFFFFF"/>
          <w:lang w:val="en-US"/>
        </w:rPr>
        <w:t>tion and/or inhibition</w:t>
      </w:r>
      <w:r w:rsidR="00A276AB" w:rsidRPr="00662D08">
        <w:rPr>
          <w:rFonts w:asciiTheme="minorHAnsi" w:hAnsiTheme="minorHAnsi" w:cstheme="minorHAnsi"/>
          <w:color w:val="212121"/>
          <w:shd w:val="clear" w:color="auto" w:fill="FFFFFF"/>
          <w:lang w:val="en-US"/>
        </w:rPr>
        <w:t xml:space="preserve"> </w:t>
      </w:r>
      <w:r w:rsidRPr="00662D08">
        <w:rPr>
          <w:rFonts w:asciiTheme="minorHAnsi" w:hAnsiTheme="minorHAnsi" w:cstheme="minorHAnsi"/>
          <w:color w:val="212121"/>
          <w:shd w:val="clear" w:color="auto" w:fill="FFFFFF"/>
          <w:lang w:val="en-US"/>
        </w:rPr>
        <w:t>effectively.</w:t>
      </w:r>
    </w:p>
    <w:p w14:paraId="061B039A" w14:textId="77777777" w:rsidR="00D36192" w:rsidRPr="00662D08" w:rsidRDefault="00D36192" w:rsidP="00662D08">
      <w:pPr>
        <w:jc w:val="both"/>
        <w:rPr>
          <w:rFonts w:asciiTheme="minorHAnsi" w:hAnsiTheme="minorHAnsi" w:cstheme="minorHAnsi"/>
          <w:color w:val="212121"/>
          <w:shd w:val="clear" w:color="auto" w:fill="FFFFFF"/>
          <w:lang w:val="en-US"/>
        </w:rPr>
      </w:pPr>
    </w:p>
    <w:p w14:paraId="623AFE55" w14:textId="3E4DCD89" w:rsidR="00A276AB" w:rsidRDefault="00A276AB" w:rsidP="00662D08">
      <w:pPr>
        <w:jc w:val="both"/>
        <w:rPr>
          <w:rFonts w:asciiTheme="minorHAnsi" w:hAnsiTheme="minorHAnsi" w:cstheme="minorHAnsi"/>
          <w:color w:val="212121"/>
          <w:shd w:val="clear" w:color="auto" w:fill="FFFFFF"/>
          <w:lang w:val="en-US"/>
        </w:rPr>
      </w:pPr>
      <w:r w:rsidRPr="00A276AB">
        <w:rPr>
          <w:rFonts w:asciiTheme="minorHAnsi" w:hAnsiTheme="minorHAnsi" w:cstheme="minorHAnsi"/>
          <w:color w:val="212121"/>
          <w:shd w:val="clear" w:color="auto" w:fill="FFFFFF"/>
        </w:rPr>
        <w:t>In this project, you are responsible for the optogenetic unit, with the goal of designing upcoming experiments to determine whether a specific cell type within a circuit is essential and uniquely involved in a particular behavioral task.</w:t>
      </w:r>
    </w:p>
    <w:p w14:paraId="3E3E1BFD" w14:textId="77777777" w:rsidR="00D36192" w:rsidRPr="00662D08" w:rsidRDefault="00D36192" w:rsidP="00662D08">
      <w:pPr>
        <w:jc w:val="both"/>
        <w:rPr>
          <w:rFonts w:asciiTheme="minorHAnsi" w:hAnsiTheme="minorHAnsi" w:cstheme="minorHAnsi"/>
          <w:color w:val="212121"/>
          <w:shd w:val="clear" w:color="auto" w:fill="FFFFFF"/>
          <w:lang w:val="en-US"/>
        </w:rPr>
      </w:pPr>
    </w:p>
    <w:p w14:paraId="1E98A2A3" w14:textId="28305DD8" w:rsidR="00246517" w:rsidRPr="00662D08" w:rsidRDefault="00264E6A" w:rsidP="00662D08">
      <w:pPr>
        <w:jc w:val="both"/>
        <w:rPr>
          <w:rFonts w:asciiTheme="minorHAnsi" w:hAnsiTheme="minorHAnsi" w:cstheme="minorHAnsi"/>
          <w:color w:val="212121"/>
          <w:shd w:val="clear" w:color="auto" w:fill="FFFFFF"/>
          <w:lang w:val="en-US"/>
        </w:rPr>
      </w:pPr>
      <w:r w:rsidRPr="00662D08">
        <w:rPr>
          <w:rFonts w:asciiTheme="minorHAnsi" w:hAnsiTheme="minorHAnsi" w:cstheme="minorHAnsi"/>
          <w:color w:val="212121"/>
          <w:shd w:val="clear" w:color="auto" w:fill="FFFFFF"/>
          <w:lang w:val="en-US"/>
        </w:rPr>
        <w:t>Your task</w:t>
      </w:r>
      <w:r w:rsidR="00A276AB">
        <w:rPr>
          <w:rFonts w:asciiTheme="minorHAnsi" w:hAnsiTheme="minorHAnsi" w:cstheme="minorHAnsi"/>
          <w:color w:val="212121"/>
          <w:shd w:val="clear" w:color="auto" w:fill="FFFFFF"/>
          <w:lang w:val="en-US"/>
        </w:rPr>
        <w:t>s</w:t>
      </w:r>
      <w:r w:rsidRPr="00662D08">
        <w:rPr>
          <w:rFonts w:asciiTheme="minorHAnsi" w:hAnsiTheme="minorHAnsi" w:cstheme="minorHAnsi"/>
          <w:color w:val="212121"/>
          <w:shd w:val="clear" w:color="auto" w:fill="FFFFFF"/>
          <w:lang w:val="en-US"/>
        </w:rPr>
        <w:t xml:space="preserve"> consist</w:t>
      </w:r>
      <w:r w:rsidR="00A276AB">
        <w:rPr>
          <w:rFonts w:asciiTheme="minorHAnsi" w:hAnsiTheme="minorHAnsi" w:cstheme="minorHAnsi"/>
          <w:color w:val="212121"/>
          <w:shd w:val="clear" w:color="auto" w:fill="FFFFFF"/>
          <w:lang w:val="en-US"/>
        </w:rPr>
        <w:t xml:space="preserve"> of</w:t>
      </w:r>
      <w:r w:rsidRPr="00662D08">
        <w:rPr>
          <w:rFonts w:asciiTheme="minorHAnsi" w:hAnsiTheme="minorHAnsi" w:cstheme="minorHAnsi"/>
          <w:color w:val="212121"/>
          <w:shd w:val="clear" w:color="auto" w:fill="FFFFFF"/>
          <w:lang w:val="en-US"/>
        </w:rPr>
        <w:t xml:space="preserve">: </w:t>
      </w:r>
    </w:p>
    <w:p w14:paraId="3C50751C" w14:textId="4C0FBFED" w:rsidR="00D36192" w:rsidRPr="00662D08" w:rsidRDefault="00D36192" w:rsidP="00662D08">
      <w:pPr>
        <w:jc w:val="both"/>
        <w:rPr>
          <w:rFonts w:asciiTheme="minorHAnsi" w:hAnsiTheme="minorHAnsi" w:cstheme="minorHAnsi"/>
          <w:color w:val="212121"/>
          <w:shd w:val="clear" w:color="auto" w:fill="FFFFFF"/>
          <w:lang w:val="en-US"/>
        </w:rPr>
      </w:pPr>
      <w:r w:rsidRPr="00662D08">
        <w:rPr>
          <w:rFonts w:asciiTheme="minorHAnsi" w:hAnsiTheme="minorHAnsi" w:cstheme="minorHAnsi"/>
          <w:color w:val="212121"/>
          <w:shd w:val="clear" w:color="auto" w:fill="FFFFFF"/>
          <w:lang w:val="en-US"/>
        </w:rPr>
        <w:t xml:space="preserve">1. </w:t>
      </w:r>
      <w:r w:rsidRPr="00662D08">
        <w:rPr>
          <w:rFonts w:asciiTheme="minorHAnsi" w:hAnsiTheme="minorHAnsi" w:cstheme="minorHAnsi"/>
          <w:b/>
          <w:bCs/>
          <w:color w:val="212121"/>
          <w:shd w:val="clear" w:color="auto" w:fill="FFFFFF"/>
          <w:lang w:val="en-US"/>
        </w:rPr>
        <w:t>Animal Model Selection</w:t>
      </w:r>
      <w:r w:rsidRPr="00662D08">
        <w:rPr>
          <w:rFonts w:asciiTheme="minorHAnsi" w:hAnsiTheme="minorHAnsi" w:cstheme="minorHAnsi"/>
          <w:color w:val="212121"/>
          <w:shd w:val="clear" w:color="auto" w:fill="FFFFFF"/>
          <w:lang w:val="en-US"/>
        </w:rPr>
        <w:t>: We will opt for either mice or rats as the experimental animal model. The choice should align with the specific research objectives and logistical considerations, such as the availability of genetic tools and ethical considerations.</w:t>
      </w:r>
    </w:p>
    <w:p w14:paraId="053FF602" w14:textId="04F921CB" w:rsidR="00D36192" w:rsidRPr="00662D08" w:rsidRDefault="00D36192" w:rsidP="00662D08">
      <w:pPr>
        <w:jc w:val="both"/>
        <w:rPr>
          <w:rFonts w:asciiTheme="minorHAnsi" w:hAnsiTheme="minorHAnsi" w:cstheme="minorHAnsi"/>
          <w:color w:val="212121"/>
          <w:shd w:val="clear" w:color="auto" w:fill="FFFFFF"/>
          <w:lang w:val="en-US"/>
        </w:rPr>
      </w:pPr>
      <w:r w:rsidRPr="00662D08">
        <w:rPr>
          <w:rFonts w:asciiTheme="minorHAnsi" w:hAnsiTheme="minorHAnsi" w:cstheme="minorHAnsi"/>
          <w:color w:val="212121"/>
          <w:shd w:val="clear" w:color="auto" w:fill="FFFFFF"/>
          <w:lang w:val="en-US"/>
        </w:rPr>
        <w:t xml:space="preserve">2. </w:t>
      </w:r>
      <w:r w:rsidRPr="00662D08">
        <w:rPr>
          <w:rFonts w:asciiTheme="minorHAnsi" w:hAnsiTheme="minorHAnsi" w:cstheme="minorHAnsi"/>
          <w:b/>
          <w:bCs/>
          <w:color w:val="212121"/>
          <w:shd w:val="clear" w:color="auto" w:fill="FFFFFF"/>
          <w:lang w:val="en-US"/>
        </w:rPr>
        <w:t>Surgical Plan</w:t>
      </w:r>
      <w:r w:rsidRPr="00662D08">
        <w:rPr>
          <w:rFonts w:asciiTheme="minorHAnsi" w:hAnsiTheme="minorHAnsi" w:cstheme="minorHAnsi"/>
          <w:color w:val="212121"/>
          <w:shd w:val="clear" w:color="auto" w:fill="FFFFFF"/>
          <w:lang w:val="en-US"/>
        </w:rPr>
        <w:t xml:space="preserve">: A well-defined surgical plan is crucial for the precise </w:t>
      </w:r>
      <w:r w:rsidR="00A276AB">
        <w:rPr>
          <w:rFonts w:asciiTheme="minorHAnsi" w:hAnsiTheme="minorHAnsi" w:cstheme="minorHAnsi"/>
          <w:color w:val="212121"/>
          <w:shd w:val="clear" w:color="auto" w:fill="FFFFFF"/>
          <w:lang w:val="en-US"/>
        </w:rPr>
        <w:t>transfection of the optogenetic compound of your choice.</w:t>
      </w:r>
      <w:r w:rsidRPr="00662D08">
        <w:rPr>
          <w:rFonts w:asciiTheme="minorHAnsi" w:hAnsiTheme="minorHAnsi" w:cstheme="minorHAnsi"/>
          <w:color w:val="212121"/>
          <w:shd w:val="clear" w:color="auto" w:fill="FFFFFF"/>
          <w:lang w:val="en-US"/>
        </w:rPr>
        <w:t xml:space="preserve"> </w:t>
      </w:r>
      <w:r w:rsidR="00A276AB">
        <w:rPr>
          <w:rFonts w:asciiTheme="minorHAnsi" w:hAnsiTheme="minorHAnsi" w:cstheme="minorHAnsi"/>
          <w:color w:val="212121"/>
          <w:shd w:val="clear" w:color="auto" w:fill="FFFFFF"/>
          <w:lang w:val="en-US"/>
        </w:rPr>
        <w:t>While opting for a viral approach is recommended, t</w:t>
      </w:r>
      <w:r w:rsidRPr="00662D08">
        <w:rPr>
          <w:rFonts w:asciiTheme="minorHAnsi" w:hAnsiTheme="minorHAnsi" w:cstheme="minorHAnsi"/>
          <w:color w:val="212121"/>
          <w:shd w:val="clear" w:color="auto" w:fill="FFFFFF"/>
          <w:lang w:val="en-US"/>
        </w:rPr>
        <w:t>his plan must consider the anatomical and physiological characteristics of the chosen animal model, ensuring minimal invasiveness and long-term viability.</w:t>
      </w:r>
    </w:p>
    <w:p w14:paraId="3C0320D3" w14:textId="078053D9" w:rsidR="00D36192" w:rsidRPr="00662D08" w:rsidRDefault="00D36192" w:rsidP="00662D08">
      <w:pPr>
        <w:jc w:val="both"/>
        <w:rPr>
          <w:rFonts w:asciiTheme="minorHAnsi" w:hAnsiTheme="minorHAnsi" w:cstheme="minorHAnsi"/>
          <w:color w:val="212121"/>
          <w:shd w:val="clear" w:color="auto" w:fill="FFFFFF"/>
          <w:lang w:val="en-US"/>
        </w:rPr>
      </w:pPr>
      <w:r w:rsidRPr="00662D08">
        <w:rPr>
          <w:rFonts w:asciiTheme="minorHAnsi" w:hAnsiTheme="minorHAnsi" w:cstheme="minorHAnsi"/>
          <w:color w:val="212121"/>
          <w:shd w:val="clear" w:color="auto" w:fill="FFFFFF"/>
          <w:lang w:val="en-US"/>
        </w:rPr>
        <w:t xml:space="preserve">3. </w:t>
      </w:r>
      <w:r w:rsidR="001A7063" w:rsidRPr="00662D08">
        <w:rPr>
          <w:rFonts w:asciiTheme="minorHAnsi" w:hAnsiTheme="minorHAnsi" w:cstheme="minorHAnsi"/>
          <w:b/>
          <w:bCs/>
          <w:color w:val="1D1C1D"/>
          <w:sz w:val="23"/>
          <w:szCs w:val="23"/>
          <w:shd w:val="clear" w:color="auto" w:fill="FFFFFF"/>
        </w:rPr>
        <w:t>Targeted Brain Region for Circuit-Specific Manipulation</w:t>
      </w:r>
      <w:r w:rsidRPr="00662D08">
        <w:rPr>
          <w:rFonts w:asciiTheme="minorHAnsi" w:hAnsiTheme="minorHAnsi" w:cstheme="minorHAnsi"/>
          <w:color w:val="212121"/>
          <w:shd w:val="clear" w:color="auto" w:fill="FFFFFF"/>
          <w:lang w:val="en-US"/>
        </w:rPr>
        <w:t>: The selection of the brain region for cell injection should align with the functional network that the study aims to manipulate. This choice requires meticulous consideration of neuroanatomy and prior research on the neural circuits involved in the desired functional output.</w:t>
      </w:r>
    </w:p>
    <w:p w14:paraId="61E37A2B" w14:textId="7B316284" w:rsidR="00D36192" w:rsidRPr="00662D08" w:rsidRDefault="00D36192" w:rsidP="00662D08">
      <w:pPr>
        <w:jc w:val="both"/>
        <w:rPr>
          <w:rFonts w:asciiTheme="minorHAnsi" w:hAnsiTheme="minorHAnsi" w:cstheme="minorHAnsi"/>
          <w:color w:val="212121"/>
          <w:shd w:val="clear" w:color="auto" w:fill="FFFFFF"/>
          <w:lang w:val="en-US"/>
        </w:rPr>
      </w:pPr>
      <w:r w:rsidRPr="00662D08">
        <w:rPr>
          <w:rFonts w:asciiTheme="minorHAnsi" w:hAnsiTheme="minorHAnsi" w:cstheme="minorHAnsi"/>
          <w:color w:val="212121"/>
          <w:shd w:val="clear" w:color="auto" w:fill="FFFFFF"/>
          <w:lang w:val="en-US"/>
        </w:rPr>
        <w:t xml:space="preserve">4. </w:t>
      </w:r>
      <w:r w:rsidR="00A276AB">
        <w:rPr>
          <w:rFonts w:asciiTheme="minorHAnsi" w:hAnsiTheme="minorHAnsi" w:cstheme="minorHAnsi"/>
          <w:b/>
          <w:bCs/>
          <w:color w:val="212121"/>
          <w:shd w:val="clear" w:color="auto" w:fill="FFFFFF"/>
          <w:lang w:val="en-US"/>
        </w:rPr>
        <w:t>Observations</w:t>
      </w:r>
      <w:r w:rsidRPr="00662D08">
        <w:rPr>
          <w:rFonts w:asciiTheme="minorHAnsi" w:hAnsiTheme="minorHAnsi" w:cstheme="minorHAnsi"/>
          <w:color w:val="212121"/>
          <w:shd w:val="clear" w:color="auto" w:fill="FFFFFF"/>
          <w:lang w:val="en-US"/>
        </w:rPr>
        <w:t xml:space="preserve">: The choice of measurement for </w:t>
      </w:r>
      <w:r w:rsidR="00A276AB">
        <w:rPr>
          <w:rFonts w:asciiTheme="minorHAnsi" w:hAnsiTheme="minorHAnsi" w:cstheme="minorHAnsi"/>
          <w:color w:val="212121"/>
          <w:shd w:val="clear" w:color="auto" w:fill="FFFFFF"/>
          <w:lang w:val="en-US"/>
        </w:rPr>
        <w:t>optogenetic effects</w:t>
      </w:r>
      <w:r w:rsidRPr="00662D08">
        <w:rPr>
          <w:rFonts w:asciiTheme="minorHAnsi" w:hAnsiTheme="minorHAnsi" w:cstheme="minorHAnsi"/>
          <w:color w:val="212121"/>
          <w:shd w:val="clear" w:color="auto" w:fill="FFFFFF"/>
          <w:lang w:val="en-US"/>
        </w:rPr>
        <w:t xml:space="preserve"> must be informed by the specific research goals and may involve </w:t>
      </w:r>
      <w:r w:rsidR="00A276AB">
        <w:rPr>
          <w:rFonts w:asciiTheme="minorHAnsi" w:hAnsiTheme="minorHAnsi" w:cstheme="minorHAnsi"/>
          <w:color w:val="212121"/>
          <w:shd w:val="clear" w:color="auto" w:fill="FFFFFF"/>
          <w:lang w:val="en-US"/>
        </w:rPr>
        <w:t xml:space="preserve">behavioral readouts, as well as invasive or </w:t>
      </w:r>
      <w:r w:rsidRPr="00662D08">
        <w:rPr>
          <w:rFonts w:asciiTheme="minorHAnsi" w:hAnsiTheme="minorHAnsi" w:cstheme="minorHAnsi"/>
          <w:color w:val="212121"/>
          <w:shd w:val="clear" w:color="auto" w:fill="FFFFFF"/>
          <w:lang w:val="en-US"/>
        </w:rPr>
        <w:t xml:space="preserve">non-invasive techniques </w:t>
      </w:r>
      <w:r w:rsidR="00A276AB">
        <w:rPr>
          <w:rFonts w:asciiTheme="minorHAnsi" w:hAnsiTheme="minorHAnsi" w:cstheme="minorHAnsi"/>
          <w:color w:val="212121"/>
          <w:shd w:val="clear" w:color="auto" w:fill="FFFFFF"/>
          <w:lang w:val="en-US"/>
        </w:rPr>
        <w:t xml:space="preserve">for monitoring brain activity </w:t>
      </w:r>
      <w:r w:rsidRPr="00662D08">
        <w:rPr>
          <w:rFonts w:asciiTheme="minorHAnsi" w:hAnsiTheme="minorHAnsi" w:cstheme="minorHAnsi"/>
          <w:color w:val="212121"/>
          <w:shd w:val="clear" w:color="auto" w:fill="FFFFFF"/>
          <w:lang w:val="en-US"/>
        </w:rPr>
        <w:t>such as EEG monitoring</w:t>
      </w:r>
      <w:r w:rsidR="00A276AB">
        <w:rPr>
          <w:rFonts w:asciiTheme="minorHAnsi" w:hAnsiTheme="minorHAnsi" w:cstheme="minorHAnsi"/>
          <w:color w:val="212121"/>
          <w:shd w:val="clear" w:color="auto" w:fill="FFFFFF"/>
          <w:lang w:val="en-US"/>
        </w:rPr>
        <w:t>, fluorescent imaging</w:t>
      </w:r>
      <w:r w:rsidRPr="00662D08">
        <w:rPr>
          <w:rFonts w:asciiTheme="minorHAnsi" w:hAnsiTheme="minorHAnsi" w:cstheme="minorHAnsi"/>
          <w:color w:val="212121"/>
          <w:shd w:val="clear" w:color="auto" w:fill="FFFFFF"/>
          <w:lang w:val="en-US"/>
        </w:rPr>
        <w:t xml:space="preserve"> or </w:t>
      </w:r>
      <w:r w:rsidR="00A276AB">
        <w:rPr>
          <w:rFonts w:asciiTheme="minorHAnsi" w:hAnsiTheme="minorHAnsi" w:cstheme="minorHAnsi"/>
          <w:color w:val="212121"/>
          <w:shd w:val="clear" w:color="auto" w:fill="FFFFFF"/>
          <w:lang w:val="en-US"/>
        </w:rPr>
        <w:t>fMRI</w:t>
      </w:r>
      <w:r w:rsidRPr="00662D08">
        <w:rPr>
          <w:rFonts w:asciiTheme="minorHAnsi" w:hAnsiTheme="minorHAnsi" w:cstheme="minorHAnsi"/>
          <w:color w:val="212121"/>
          <w:shd w:val="clear" w:color="auto" w:fill="FFFFFF"/>
          <w:lang w:val="en-US"/>
        </w:rPr>
        <w:t>.</w:t>
      </w:r>
    </w:p>
    <w:p w14:paraId="6ED2BF1A" w14:textId="10E7E88E" w:rsidR="00D36192" w:rsidRPr="00662D08" w:rsidRDefault="00D36192" w:rsidP="00662D08">
      <w:pPr>
        <w:jc w:val="both"/>
        <w:rPr>
          <w:rFonts w:asciiTheme="minorHAnsi" w:hAnsiTheme="minorHAnsi" w:cstheme="minorHAnsi"/>
          <w:color w:val="212121"/>
          <w:shd w:val="clear" w:color="auto" w:fill="FFFFFF"/>
          <w:lang w:val="en-US"/>
        </w:rPr>
      </w:pPr>
      <w:r w:rsidRPr="00662D08">
        <w:rPr>
          <w:rFonts w:asciiTheme="minorHAnsi" w:hAnsiTheme="minorHAnsi" w:cstheme="minorHAnsi"/>
          <w:color w:val="212121"/>
          <w:shd w:val="clear" w:color="auto" w:fill="FFFFFF"/>
          <w:lang w:val="en-US"/>
        </w:rPr>
        <w:t xml:space="preserve">5. </w:t>
      </w:r>
      <w:r w:rsidRPr="00662D08">
        <w:rPr>
          <w:rFonts w:asciiTheme="minorHAnsi" w:hAnsiTheme="minorHAnsi" w:cstheme="minorHAnsi"/>
          <w:b/>
          <w:bCs/>
          <w:color w:val="212121"/>
          <w:shd w:val="clear" w:color="auto" w:fill="FFFFFF"/>
          <w:lang w:val="en-US"/>
        </w:rPr>
        <w:t>Translatability</w:t>
      </w:r>
      <w:r w:rsidRPr="00662D08">
        <w:rPr>
          <w:rFonts w:asciiTheme="minorHAnsi" w:hAnsiTheme="minorHAnsi" w:cstheme="minorHAnsi"/>
          <w:color w:val="212121"/>
          <w:shd w:val="clear" w:color="auto" w:fill="FFFFFF"/>
          <w:lang w:val="en-US"/>
        </w:rPr>
        <w:t xml:space="preserve">: The project's translatability is a primary concern, emphasizing the use of techniques and methodologies that can be applied to human research or clinical applications wherever possible. This includes the exploration of </w:t>
      </w:r>
      <w:r w:rsidR="00A276AB">
        <w:rPr>
          <w:rFonts w:asciiTheme="minorHAnsi" w:hAnsiTheme="minorHAnsi" w:cstheme="minorHAnsi"/>
          <w:color w:val="212121"/>
          <w:shd w:val="clear" w:color="auto" w:fill="FFFFFF"/>
          <w:lang w:val="en-US"/>
        </w:rPr>
        <w:t xml:space="preserve">alternative, </w:t>
      </w:r>
      <w:r w:rsidRPr="00662D08">
        <w:rPr>
          <w:rFonts w:asciiTheme="minorHAnsi" w:hAnsiTheme="minorHAnsi" w:cstheme="minorHAnsi"/>
          <w:color w:val="212121"/>
          <w:shd w:val="clear" w:color="auto" w:fill="FFFFFF"/>
          <w:lang w:val="en-US"/>
        </w:rPr>
        <w:t>non-invasive approaches to ensure the broader relevance of the findings.</w:t>
      </w:r>
    </w:p>
    <w:p w14:paraId="25FA2F79" w14:textId="77777777" w:rsidR="00D36192" w:rsidRPr="00662D08" w:rsidRDefault="00D36192" w:rsidP="00662D08">
      <w:pPr>
        <w:jc w:val="both"/>
        <w:rPr>
          <w:rFonts w:asciiTheme="minorHAnsi" w:hAnsiTheme="minorHAnsi" w:cstheme="minorHAnsi"/>
          <w:color w:val="212121"/>
          <w:shd w:val="clear" w:color="auto" w:fill="FFFFFF"/>
          <w:lang w:val="en-US"/>
        </w:rPr>
      </w:pPr>
    </w:p>
    <w:p w14:paraId="6EDC60A8" w14:textId="067516A1" w:rsidR="004232C3" w:rsidRPr="00662D08" w:rsidRDefault="00D36192" w:rsidP="00662D08">
      <w:pPr>
        <w:jc w:val="both"/>
        <w:rPr>
          <w:rFonts w:asciiTheme="minorHAnsi" w:hAnsiTheme="minorHAnsi" w:cstheme="minorHAnsi"/>
          <w:color w:val="212121"/>
          <w:shd w:val="clear" w:color="auto" w:fill="FFFFFF"/>
          <w:lang w:val="en-US"/>
        </w:rPr>
      </w:pPr>
      <w:r w:rsidRPr="00662D08">
        <w:rPr>
          <w:rFonts w:asciiTheme="minorHAnsi" w:hAnsiTheme="minorHAnsi" w:cstheme="minorHAnsi"/>
          <w:color w:val="212121"/>
          <w:shd w:val="clear" w:color="auto" w:fill="FFFFFF"/>
          <w:lang w:val="en-US"/>
        </w:rPr>
        <w:t xml:space="preserve">In summary, this research project aims to leverage optogenetics to modulate </w:t>
      </w:r>
      <w:r w:rsidR="00A276AB">
        <w:rPr>
          <w:rFonts w:asciiTheme="minorHAnsi" w:hAnsiTheme="minorHAnsi" w:cstheme="minorHAnsi"/>
          <w:color w:val="212121"/>
          <w:shd w:val="clear" w:color="auto" w:fill="FFFFFF"/>
          <w:lang w:val="en-US"/>
        </w:rPr>
        <w:t>behavior and brain signaling</w:t>
      </w:r>
      <w:r w:rsidRPr="00662D08">
        <w:rPr>
          <w:rFonts w:asciiTheme="minorHAnsi" w:hAnsiTheme="minorHAnsi" w:cstheme="minorHAnsi"/>
          <w:color w:val="212121"/>
          <w:shd w:val="clear" w:color="auto" w:fill="FFFFFF"/>
          <w:lang w:val="en-US"/>
        </w:rPr>
        <w:t xml:space="preserve"> through the precise activation of </w:t>
      </w:r>
      <w:r w:rsidR="00A276AB">
        <w:rPr>
          <w:rFonts w:asciiTheme="minorHAnsi" w:hAnsiTheme="minorHAnsi" w:cstheme="minorHAnsi"/>
          <w:color w:val="212121"/>
          <w:shd w:val="clear" w:color="auto" w:fill="FFFFFF"/>
          <w:lang w:val="en-US"/>
        </w:rPr>
        <w:t>a given cell population</w:t>
      </w:r>
      <w:r w:rsidRPr="00662D08">
        <w:rPr>
          <w:rFonts w:asciiTheme="minorHAnsi" w:hAnsiTheme="minorHAnsi" w:cstheme="minorHAnsi"/>
          <w:color w:val="212121"/>
          <w:shd w:val="clear" w:color="auto" w:fill="FFFFFF"/>
          <w:lang w:val="en-US"/>
        </w:rPr>
        <w:t>. The comprehensive plan outlined here underscores the importance of animal model selection, surgical precision, targeted brain region selection, system implementation, and a focus on translatability to advance our understanding of neural circuitry and potential therapeutic applications.</w:t>
      </w:r>
    </w:p>
    <w:p w14:paraId="1EF767E2" w14:textId="2DD2F24A" w:rsidR="00662D08" w:rsidRDefault="00662D08">
      <w:pPr>
        <w:rPr>
          <w:rFonts w:asciiTheme="minorHAnsi" w:hAnsiTheme="minorHAnsi" w:cstheme="minorHAnsi"/>
          <w:color w:val="212121"/>
          <w:shd w:val="clear" w:color="auto" w:fill="FFFFFF"/>
          <w:lang w:val="en-US"/>
        </w:rPr>
      </w:pPr>
      <w:r>
        <w:rPr>
          <w:rFonts w:asciiTheme="minorHAnsi" w:hAnsiTheme="minorHAnsi" w:cstheme="minorHAnsi"/>
          <w:color w:val="212121"/>
          <w:shd w:val="clear" w:color="auto" w:fill="FFFFFF"/>
          <w:lang w:val="en-US"/>
        </w:rPr>
        <w:br w:type="page"/>
      </w:r>
    </w:p>
    <w:p w14:paraId="10A5BEED" w14:textId="77777777" w:rsidR="00CE7221" w:rsidRPr="00662D08" w:rsidRDefault="00CE7221" w:rsidP="00662D08">
      <w:pPr>
        <w:jc w:val="both"/>
        <w:rPr>
          <w:rFonts w:asciiTheme="minorHAnsi" w:hAnsiTheme="minorHAnsi" w:cstheme="minorHAnsi"/>
          <w:color w:val="212121"/>
          <w:shd w:val="clear" w:color="auto" w:fill="FFFFFF"/>
          <w:lang w:val="en-US"/>
        </w:rPr>
      </w:pPr>
    </w:p>
    <w:p w14:paraId="1AE91C85" w14:textId="40A25396" w:rsidR="004232C3" w:rsidRPr="00662D08" w:rsidRDefault="004232C3" w:rsidP="00662D08">
      <w:pPr>
        <w:jc w:val="both"/>
        <w:rPr>
          <w:rFonts w:asciiTheme="minorHAnsi" w:hAnsiTheme="minorHAnsi" w:cstheme="minorHAnsi"/>
          <w:color w:val="212121"/>
          <w:sz w:val="22"/>
          <w:szCs w:val="22"/>
          <w:u w:val="single"/>
          <w:shd w:val="clear" w:color="auto" w:fill="FFFFFF"/>
          <w:lang w:val="en-US"/>
        </w:rPr>
      </w:pPr>
      <w:r w:rsidRPr="00662D08">
        <w:rPr>
          <w:rFonts w:asciiTheme="minorHAnsi" w:hAnsiTheme="minorHAnsi" w:cstheme="minorHAnsi"/>
          <w:color w:val="212121"/>
          <w:sz w:val="22"/>
          <w:szCs w:val="22"/>
          <w:u w:val="single"/>
          <w:shd w:val="clear" w:color="auto" w:fill="FFFFFF"/>
          <w:lang w:val="en-US"/>
        </w:rPr>
        <w:t>Bibliography:</w:t>
      </w:r>
    </w:p>
    <w:p w14:paraId="3EF837E8" w14:textId="77777777" w:rsidR="009201CC" w:rsidRPr="00662D08" w:rsidRDefault="009201CC" w:rsidP="00662D08">
      <w:pPr>
        <w:jc w:val="both"/>
        <w:rPr>
          <w:rFonts w:asciiTheme="minorHAnsi" w:hAnsiTheme="minorHAnsi" w:cstheme="minorHAnsi"/>
          <w:color w:val="212121"/>
          <w:sz w:val="22"/>
          <w:szCs w:val="22"/>
          <w:shd w:val="clear" w:color="auto" w:fill="FFFFFF"/>
        </w:rPr>
      </w:pPr>
    </w:p>
    <w:p w14:paraId="41D208DE" w14:textId="41FA7DAE" w:rsidR="009201CC" w:rsidRPr="00662D08" w:rsidRDefault="009201CC" w:rsidP="00662D08">
      <w:pPr>
        <w:pStyle w:val="ListParagraph"/>
        <w:numPr>
          <w:ilvl w:val="0"/>
          <w:numId w:val="3"/>
        </w:numPr>
        <w:jc w:val="both"/>
        <w:rPr>
          <w:rFonts w:cstheme="minorHAnsi"/>
          <w:color w:val="212121"/>
          <w:sz w:val="22"/>
          <w:szCs w:val="22"/>
          <w:shd w:val="clear" w:color="auto" w:fill="FFFFFF"/>
          <w:lang w:val="en-US"/>
        </w:rPr>
      </w:pPr>
      <w:proofErr w:type="spellStart"/>
      <w:r w:rsidRPr="00662D08">
        <w:rPr>
          <w:rFonts w:cstheme="minorHAnsi"/>
          <w:color w:val="212121"/>
          <w:sz w:val="22"/>
          <w:szCs w:val="22"/>
          <w:shd w:val="clear" w:color="auto" w:fill="FFFFFF"/>
          <w:lang w:val="en-US"/>
        </w:rPr>
        <w:t>Deisseroth</w:t>
      </w:r>
      <w:proofErr w:type="spellEnd"/>
      <w:r w:rsidRPr="00662D08">
        <w:rPr>
          <w:rFonts w:cstheme="minorHAnsi"/>
          <w:color w:val="212121"/>
          <w:sz w:val="22"/>
          <w:szCs w:val="22"/>
          <w:shd w:val="clear" w:color="auto" w:fill="FFFFFF"/>
          <w:lang w:val="en-US"/>
        </w:rPr>
        <w:t xml:space="preserve">, K. (2015). Optogenetics: 10 years of microbial opsins in neuroscience. Nature Neuroscience 2015 18:9, 18(9), 1213–1225. </w:t>
      </w:r>
      <w:hyperlink r:id="rId6" w:history="1">
        <w:r w:rsidR="00AB27DB" w:rsidRPr="00662D08">
          <w:rPr>
            <w:rFonts w:cstheme="minorHAnsi"/>
            <w:color w:val="212121"/>
            <w:sz w:val="22"/>
            <w:szCs w:val="22"/>
            <w:shd w:val="clear" w:color="auto" w:fill="FFFFFF"/>
            <w:lang w:val="en-US"/>
          </w:rPr>
          <w:t>https://doi.org/10.1038/nn.4091</w:t>
        </w:r>
      </w:hyperlink>
    </w:p>
    <w:p w14:paraId="6A9A6691" w14:textId="77777777" w:rsidR="004232C3" w:rsidRPr="00662D08" w:rsidRDefault="004232C3" w:rsidP="00662D08">
      <w:pPr>
        <w:jc w:val="both"/>
        <w:rPr>
          <w:rFonts w:asciiTheme="minorHAnsi" w:hAnsiTheme="minorHAnsi" w:cstheme="minorHAnsi"/>
          <w:color w:val="212121"/>
          <w:sz w:val="22"/>
          <w:szCs w:val="22"/>
          <w:shd w:val="clear" w:color="auto" w:fill="FFFFFF"/>
          <w:lang w:val="en-US"/>
        </w:rPr>
      </w:pPr>
    </w:p>
    <w:p w14:paraId="703C0D01" w14:textId="2F6569F7" w:rsidR="00AB27DB" w:rsidRPr="00662D08" w:rsidRDefault="00AB27DB" w:rsidP="00662D08">
      <w:pPr>
        <w:pStyle w:val="ListParagraph"/>
        <w:numPr>
          <w:ilvl w:val="0"/>
          <w:numId w:val="3"/>
        </w:numPr>
        <w:jc w:val="both"/>
        <w:rPr>
          <w:rFonts w:cstheme="minorHAnsi"/>
          <w:color w:val="212121"/>
          <w:sz w:val="22"/>
          <w:szCs w:val="22"/>
          <w:shd w:val="clear" w:color="auto" w:fill="FFFFFF"/>
        </w:rPr>
      </w:pPr>
      <w:r w:rsidRPr="00662D08">
        <w:rPr>
          <w:rFonts w:cstheme="minorHAnsi"/>
          <w:color w:val="212121"/>
          <w:sz w:val="22"/>
          <w:szCs w:val="22"/>
          <w:shd w:val="clear" w:color="auto" w:fill="FFFFFF"/>
          <w:lang w:val="en-US"/>
        </w:rPr>
        <w:t xml:space="preserve">Emiliani, V., Entcheva, E., Hedrich, R., Hegemann, P., Konrad, K. R., Lüscher, C., Mahn, M., Pan, Z. H., Sims, R. R., Vierock, J., &amp; Yizhar, O. (2022). Optogenetics for light control of biological systems. Nature Reviews Methods Primers 2022 2:1, 2(1), 1–25. </w:t>
      </w:r>
      <w:hyperlink r:id="rId7" w:history="1">
        <w:r w:rsidR="004232C3" w:rsidRPr="00662D08">
          <w:rPr>
            <w:rStyle w:val="Hyperlink"/>
            <w:rFonts w:cstheme="minorHAnsi"/>
            <w:sz w:val="22"/>
            <w:szCs w:val="22"/>
            <w:shd w:val="clear" w:color="auto" w:fill="FFFFFF"/>
          </w:rPr>
          <w:t>https://doi.org/10.1038/s43586-022-00136-4</w:t>
        </w:r>
      </w:hyperlink>
    </w:p>
    <w:p w14:paraId="690CF01D" w14:textId="77777777" w:rsidR="004232C3" w:rsidRPr="00662D08" w:rsidRDefault="004232C3" w:rsidP="00662D08">
      <w:pPr>
        <w:jc w:val="both"/>
        <w:rPr>
          <w:rFonts w:asciiTheme="minorHAnsi" w:hAnsiTheme="minorHAnsi" w:cstheme="minorHAnsi"/>
          <w:color w:val="212121"/>
          <w:sz w:val="22"/>
          <w:szCs w:val="22"/>
          <w:shd w:val="clear" w:color="auto" w:fill="FFFFFF"/>
        </w:rPr>
      </w:pPr>
    </w:p>
    <w:p w14:paraId="536960F0" w14:textId="7B2B4D76" w:rsidR="00081723" w:rsidRPr="00662D08" w:rsidRDefault="009201CC" w:rsidP="00662D08">
      <w:pPr>
        <w:pStyle w:val="ListParagraph"/>
        <w:numPr>
          <w:ilvl w:val="0"/>
          <w:numId w:val="3"/>
        </w:numPr>
        <w:jc w:val="both"/>
        <w:rPr>
          <w:rFonts w:cstheme="minorHAnsi"/>
          <w:color w:val="212121"/>
          <w:sz w:val="22"/>
          <w:szCs w:val="22"/>
          <w:shd w:val="clear" w:color="auto" w:fill="FFFFFF"/>
        </w:rPr>
      </w:pPr>
      <w:r w:rsidRPr="00662D08">
        <w:rPr>
          <w:rFonts w:cstheme="minorHAnsi"/>
          <w:color w:val="212121"/>
          <w:sz w:val="22"/>
          <w:szCs w:val="22"/>
          <w:shd w:val="clear" w:color="auto" w:fill="FFFFFF"/>
        </w:rPr>
        <w:t>Grimm C, Frässle S, Steger C, von Ziegler L, Sturman O, Shemesh N, Peleg-Raibstein D, Burdakov D, Bohacek J, Stephan KE, Razansky D, Wenderoth N, Zerbi V. Optogenetic activation of striatal D1R and D2R cells differentially engages downstream connected areas beyond the basal ganglia. Cell Rep. 2021 Dec 28;37(13):110161. doi: 10.1016/j.celrep.2021.110161. PMID: 34965430.</w:t>
      </w:r>
    </w:p>
    <w:p w14:paraId="4F03E433" w14:textId="77777777" w:rsidR="009201CC" w:rsidRPr="00662D08" w:rsidRDefault="009201CC" w:rsidP="00662D08">
      <w:pPr>
        <w:jc w:val="both"/>
        <w:rPr>
          <w:rFonts w:asciiTheme="minorHAnsi" w:hAnsiTheme="minorHAnsi" w:cstheme="minorHAnsi"/>
          <w:sz w:val="22"/>
          <w:szCs w:val="22"/>
        </w:rPr>
      </w:pPr>
    </w:p>
    <w:p w14:paraId="5BC538D3" w14:textId="4196338F" w:rsidR="001810E8" w:rsidRPr="00662D08" w:rsidRDefault="0054472F" w:rsidP="00662D08">
      <w:pPr>
        <w:pStyle w:val="ListParagraph"/>
        <w:numPr>
          <w:ilvl w:val="0"/>
          <w:numId w:val="3"/>
        </w:numPr>
        <w:jc w:val="both"/>
        <w:rPr>
          <w:rFonts w:cstheme="minorHAnsi"/>
          <w:color w:val="212121"/>
          <w:sz w:val="22"/>
          <w:szCs w:val="22"/>
          <w:shd w:val="clear" w:color="auto" w:fill="FFFFFF"/>
        </w:rPr>
      </w:pPr>
      <w:r w:rsidRPr="00662D08">
        <w:rPr>
          <w:rFonts w:cstheme="minorHAnsi"/>
          <w:color w:val="212121"/>
          <w:sz w:val="22"/>
          <w:szCs w:val="22"/>
          <w:shd w:val="clear" w:color="auto" w:fill="FFFFFF"/>
        </w:rPr>
        <w:t>Ferenczi EA, Zalocusky KA, Liston C, Grosenick L, Warden MR, Amatya D, Katovich K, Mehta H, Patenaude B, Ramakrishnan C, Kalanithi P, Etkin A, Knutson B, Glover GH, Deisseroth K. Prefrontal cortical regulation of brainwide circuit dynamics and reward-related behavior. Science. 2016 Jan 1;351(6268):aac9698. doi: 10.1126/science.aac9698. PMID: 26722001; PMCID: PMC4772156.</w:t>
      </w:r>
    </w:p>
    <w:p w14:paraId="11A79156" w14:textId="77777777" w:rsidR="0081757B" w:rsidRPr="00662D08" w:rsidRDefault="0081757B" w:rsidP="00662D08">
      <w:pPr>
        <w:pStyle w:val="ListParagraph"/>
        <w:jc w:val="both"/>
        <w:rPr>
          <w:rFonts w:cstheme="minorHAnsi"/>
          <w:color w:val="212121"/>
          <w:sz w:val="22"/>
          <w:szCs w:val="22"/>
          <w:shd w:val="clear" w:color="auto" w:fill="FFFFFF"/>
        </w:rPr>
      </w:pPr>
    </w:p>
    <w:p w14:paraId="4500A841" w14:textId="3F3B1C16" w:rsidR="0081757B" w:rsidRPr="00662D08" w:rsidRDefault="0081757B" w:rsidP="00662D08">
      <w:pPr>
        <w:pStyle w:val="c-bibliographic-informationcitation"/>
        <w:numPr>
          <w:ilvl w:val="0"/>
          <w:numId w:val="3"/>
        </w:numPr>
        <w:spacing w:before="0" w:beforeAutospacing="0" w:after="240" w:afterAutospacing="0"/>
        <w:jc w:val="both"/>
        <w:rPr>
          <w:rFonts w:asciiTheme="minorHAnsi" w:hAnsiTheme="minorHAnsi" w:cstheme="minorHAnsi"/>
          <w:color w:val="000000"/>
          <w:sz w:val="22"/>
          <w:szCs w:val="22"/>
        </w:rPr>
      </w:pPr>
      <w:r w:rsidRPr="00753754">
        <w:rPr>
          <w:rFonts w:asciiTheme="minorHAnsi" w:hAnsiTheme="minorHAnsi" w:cstheme="minorHAnsi"/>
          <w:color w:val="222222"/>
          <w:sz w:val="22"/>
          <w:szCs w:val="22"/>
        </w:rPr>
        <w:t>Boyden, E., Zhang, F., Bamberg, E.</w:t>
      </w:r>
      <w:r w:rsidRPr="00753754">
        <w:rPr>
          <w:rStyle w:val="apple-converted-space"/>
          <w:rFonts w:asciiTheme="minorHAnsi" w:hAnsiTheme="minorHAnsi" w:cstheme="minorHAnsi"/>
          <w:color w:val="222222"/>
          <w:sz w:val="22"/>
          <w:szCs w:val="22"/>
        </w:rPr>
        <w:t> </w:t>
      </w:r>
      <w:r w:rsidRPr="00753754">
        <w:rPr>
          <w:rFonts w:asciiTheme="minorHAnsi" w:hAnsiTheme="minorHAnsi" w:cstheme="minorHAnsi"/>
          <w:i/>
          <w:iCs/>
          <w:color w:val="222222"/>
          <w:sz w:val="22"/>
          <w:szCs w:val="22"/>
        </w:rPr>
        <w:t>et al.</w:t>
      </w:r>
      <w:r w:rsidRPr="00753754">
        <w:rPr>
          <w:rStyle w:val="apple-converted-space"/>
          <w:rFonts w:asciiTheme="minorHAnsi" w:hAnsiTheme="minorHAnsi" w:cstheme="minorHAnsi"/>
          <w:color w:val="222222"/>
          <w:sz w:val="22"/>
          <w:szCs w:val="22"/>
        </w:rPr>
        <w:t> </w:t>
      </w:r>
      <w:r w:rsidRPr="00753754">
        <w:rPr>
          <w:rFonts w:asciiTheme="minorHAnsi" w:hAnsiTheme="minorHAnsi" w:cstheme="minorHAnsi"/>
          <w:color w:val="222222"/>
          <w:sz w:val="22"/>
          <w:szCs w:val="22"/>
        </w:rPr>
        <w:t>Millisecond-timescale, genetically targeted optical control</w:t>
      </w:r>
      <w:r w:rsidRPr="00662D08">
        <w:rPr>
          <w:rFonts w:asciiTheme="minorHAnsi" w:hAnsiTheme="minorHAnsi" w:cstheme="minorHAnsi"/>
          <w:color w:val="222222"/>
          <w:sz w:val="22"/>
          <w:szCs w:val="22"/>
        </w:rPr>
        <w:t xml:space="preserve"> of neural activity.</w:t>
      </w:r>
      <w:r w:rsidRPr="00662D08">
        <w:rPr>
          <w:rStyle w:val="apple-converted-space"/>
          <w:rFonts w:asciiTheme="minorHAnsi" w:hAnsiTheme="minorHAnsi" w:cstheme="minorHAnsi"/>
          <w:color w:val="222222"/>
          <w:sz w:val="22"/>
          <w:szCs w:val="22"/>
        </w:rPr>
        <w:t> </w:t>
      </w:r>
      <w:r w:rsidRPr="00662D08">
        <w:rPr>
          <w:rFonts w:asciiTheme="minorHAnsi" w:hAnsiTheme="minorHAnsi" w:cstheme="minorHAnsi"/>
          <w:i/>
          <w:iCs/>
          <w:color w:val="222222"/>
          <w:sz w:val="22"/>
          <w:szCs w:val="22"/>
        </w:rPr>
        <w:t>Nat Neurosci</w:t>
      </w:r>
      <w:r w:rsidRPr="00662D08">
        <w:rPr>
          <w:rStyle w:val="apple-converted-space"/>
          <w:rFonts w:asciiTheme="minorHAnsi" w:hAnsiTheme="minorHAnsi" w:cstheme="minorHAnsi"/>
          <w:color w:val="222222"/>
          <w:sz w:val="22"/>
          <w:szCs w:val="22"/>
        </w:rPr>
        <w:t> </w:t>
      </w:r>
      <w:r w:rsidRPr="00662D08">
        <w:rPr>
          <w:rFonts w:asciiTheme="minorHAnsi" w:hAnsiTheme="minorHAnsi" w:cstheme="minorHAnsi"/>
          <w:b/>
          <w:bCs/>
          <w:color w:val="222222"/>
          <w:sz w:val="22"/>
          <w:szCs w:val="22"/>
        </w:rPr>
        <w:t>8</w:t>
      </w:r>
      <w:r w:rsidRPr="00662D08">
        <w:rPr>
          <w:rFonts w:asciiTheme="minorHAnsi" w:hAnsiTheme="minorHAnsi" w:cstheme="minorHAnsi"/>
          <w:color w:val="222222"/>
          <w:sz w:val="22"/>
          <w:szCs w:val="22"/>
        </w:rPr>
        <w:t xml:space="preserve">, 1263–1268 (2005). </w:t>
      </w:r>
      <w:hyperlink r:id="rId8" w:history="1">
        <w:r w:rsidRPr="00662D08">
          <w:rPr>
            <w:rStyle w:val="Hyperlink"/>
            <w:rFonts w:asciiTheme="minorHAnsi" w:hAnsiTheme="minorHAnsi" w:cstheme="minorHAnsi"/>
            <w:sz w:val="22"/>
            <w:szCs w:val="22"/>
          </w:rPr>
          <w:t>https://doi.org/10.1038/nn152</w:t>
        </w:r>
      </w:hyperlink>
    </w:p>
    <w:p w14:paraId="59B15A39" w14:textId="77777777" w:rsidR="0081757B" w:rsidRPr="00662D08" w:rsidRDefault="0081757B" w:rsidP="00662D08">
      <w:pPr>
        <w:pStyle w:val="ListParagraph"/>
        <w:jc w:val="both"/>
        <w:rPr>
          <w:rFonts w:cstheme="minorHAnsi"/>
          <w:color w:val="000000"/>
          <w:sz w:val="22"/>
          <w:szCs w:val="22"/>
        </w:rPr>
      </w:pPr>
    </w:p>
    <w:p w14:paraId="4FDAC172" w14:textId="3BC30E19" w:rsidR="001810E8" w:rsidRPr="00662D08" w:rsidRDefault="001810E8" w:rsidP="00662D08">
      <w:pPr>
        <w:pStyle w:val="c-bibliographic-informationcitation"/>
        <w:numPr>
          <w:ilvl w:val="0"/>
          <w:numId w:val="3"/>
        </w:numPr>
        <w:spacing w:before="0" w:beforeAutospacing="0" w:after="240" w:afterAutospacing="0"/>
        <w:jc w:val="both"/>
        <w:rPr>
          <w:rFonts w:asciiTheme="minorHAnsi" w:hAnsiTheme="minorHAnsi" w:cstheme="minorHAnsi"/>
          <w:color w:val="000000"/>
          <w:sz w:val="22"/>
          <w:szCs w:val="22"/>
        </w:rPr>
      </w:pPr>
      <w:r w:rsidRPr="00753754">
        <w:rPr>
          <w:rFonts w:asciiTheme="minorHAnsi" w:hAnsiTheme="minorHAnsi" w:cstheme="minorHAnsi"/>
          <w:color w:val="000000"/>
          <w:sz w:val="22"/>
          <w:szCs w:val="22"/>
        </w:rPr>
        <w:t xml:space="preserve">Paz, J. T., Davidson, T. J., Frechette, E. S., Delord, B., Parada, I., Peng, K., </w:t>
      </w:r>
      <w:proofErr w:type="spellStart"/>
      <w:r w:rsidRPr="00753754">
        <w:rPr>
          <w:rFonts w:asciiTheme="minorHAnsi" w:hAnsiTheme="minorHAnsi" w:cstheme="minorHAnsi"/>
          <w:color w:val="000000"/>
          <w:sz w:val="22"/>
          <w:szCs w:val="22"/>
        </w:rPr>
        <w:t>Deisseroth</w:t>
      </w:r>
      <w:proofErr w:type="spellEnd"/>
      <w:r w:rsidRPr="00753754">
        <w:rPr>
          <w:rFonts w:asciiTheme="minorHAnsi" w:hAnsiTheme="minorHAnsi" w:cstheme="minorHAnsi"/>
          <w:color w:val="000000"/>
          <w:sz w:val="22"/>
          <w:szCs w:val="22"/>
        </w:rPr>
        <w:t xml:space="preserve">, K., &amp; Huguenard, J. R. (2012). </w:t>
      </w:r>
      <w:r w:rsidRPr="00662D08">
        <w:rPr>
          <w:rFonts w:asciiTheme="minorHAnsi" w:hAnsiTheme="minorHAnsi" w:cstheme="minorHAnsi"/>
          <w:color w:val="000000"/>
          <w:sz w:val="22"/>
          <w:szCs w:val="22"/>
        </w:rPr>
        <w:t>Closed-loop optogenetic control of thalamus as a tool for interrupting seizures after cortical injury.</w:t>
      </w:r>
      <w:r w:rsidRPr="00662D08">
        <w:rPr>
          <w:rStyle w:val="apple-converted-space"/>
          <w:rFonts w:asciiTheme="minorHAnsi" w:hAnsiTheme="minorHAnsi" w:cstheme="minorHAnsi"/>
          <w:color w:val="000000"/>
          <w:sz w:val="22"/>
          <w:szCs w:val="22"/>
        </w:rPr>
        <w:t> </w:t>
      </w:r>
      <w:r w:rsidRPr="00662D08">
        <w:rPr>
          <w:rFonts w:asciiTheme="minorHAnsi" w:hAnsiTheme="minorHAnsi" w:cstheme="minorHAnsi"/>
          <w:i/>
          <w:iCs/>
          <w:color w:val="000000"/>
          <w:sz w:val="22"/>
          <w:szCs w:val="22"/>
        </w:rPr>
        <w:t>Nature Neuroscience 2012 16:1</w:t>
      </w:r>
      <w:r w:rsidRPr="00662D08">
        <w:rPr>
          <w:rFonts w:asciiTheme="minorHAnsi" w:hAnsiTheme="minorHAnsi" w:cstheme="minorHAnsi"/>
          <w:color w:val="000000"/>
          <w:sz w:val="22"/>
          <w:szCs w:val="22"/>
        </w:rPr>
        <w:t>,</w:t>
      </w:r>
      <w:r w:rsidRPr="00662D08">
        <w:rPr>
          <w:rStyle w:val="apple-converted-space"/>
          <w:rFonts w:asciiTheme="minorHAnsi" w:hAnsiTheme="minorHAnsi" w:cstheme="minorHAnsi"/>
          <w:color w:val="000000"/>
          <w:sz w:val="22"/>
          <w:szCs w:val="22"/>
        </w:rPr>
        <w:t> </w:t>
      </w:r>
      <w:r w:rsidRPr="00662D08">
        <w:rPr>
          <w:rFonts w:asciiTheme="minorHAnsi" w:hAnsiTheme="minorHAnsi" w:cstheme="minorHAnsi"/>
          <w:i/>
          <w:iCs/>
          <w:color w:val="000000"/>
          <w:sz w:val="22"/>
          <w:szCs w:val="22"/>
        </w:rPr>
        <w:t>16</w:t>
      </w:r>
      <w:r w:rsidRPr="00662D08">
        <w:rPr>
          <w:rFonts w:asciiTheme="minorHAnsi" w:hAnsiTheme="minorHAnsi" w:cstheme="minorHAnsi"/>
          <w:color w:val="000000"/>
          <w:sz w:val="22"/>
          <w:szCs w:val="22"/>
        </w:rPr>
        <w:t>(1), 64–70. https://doi.org/10.1038/nn.3269</w:t>
      </w:r>
    </w:p>
    <w:p w14:paraId="7C3015E7" w14:textId="77777777" w:rsidR="001810E8" w:rsidRPr="008A02C4" w:rsidRDefault="001810E8" w:rsidP="008A02C4">
      <w:pPr>
        <w:rPr>
          <w:color w:val="212121"/>
          <w:sz w:val="22"/>
          <w:szCs w:val="22"/>
          <w:shd w:val="clear" w:color="auto" w:fill="FFFFFF"/>
        </w:rPr>
      </w:pPr>
    </w:p>
    <w:sectPr w:rsidR="001810E8" w:rsidRPr="008A0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14ED"/>
    <w:multiLevelType w:val="hybridMultilevel"/>
    <w:tmpl w:val="1BD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56B0A"/>
    <w:multiLevelType w:val="hybridMultilevel"/>
    <w:tmpl w:val="D7EE3DD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D0076"/>
    <w:multiLevelType w:val="hybridMultilevel"/>
    <w:tmpl w:val="CE7ADA08"/>
    <w:lvl w:ilvl="0" w:tplc="6646F028">
      <w:start w:val="3"/>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9940384">
    <w:abstractNumId w:val="0"/>
  </w:num>
  <w:num w:numId="2" w16cid:durableId="908004094">
    <w:abstractNumId w:val="1"/>
  </w:num>
  <w:num w:numId="3" w16cid:durableId="171411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CC"/>
    <w:rsid w:val="00002F77"/>
    <w:rsid w:val="00052EF7"/>
    <w:rsid w:val="00081723"/>
    <w:rsid w:val="000B2989"/>
    <w:rsid w:val="00143716"/>
    <w:rsid w:val="00165998"/>
    <w:rsid w:val="001810E8"/>
    <w:rsid w:val="001A7063"/>
    <w:rsid w:val="001B43B6"/>
    <w:rsid w:val="001B4CAB"/>
    <w:rsid w:val="001C53DA"/>
    <w:rsid w:val="001C57FC"/>
    <w:rsid w:val="001C67AB"/>
    <w:rsid w:val="00204021"/>
    <w:rsid w:val="002071BA"/>
    <w:rsid w:val="00225CEB"/>
    <w:rsid w:val="00241679"/>
    <w:rsid w:val="00246517"/>
    <w:rsid w:val="00264E6A"/>
    <w:rsid w:val="00270E2A"/>
    <w:rsid w:val="002F066B"/>
    <w:rsid w:val="003618E6"/>
    <w:rsid w:val="003950F2"/>
    <w:rsid w:val="003E6BE7"/>
    <w:rsid w:val="00421219"/>
    <w:rsid w:val="004232C3"/>
    <w:rsid w:val="004338D5"/>
    <w:rsid w:val="004602C8"/>
    <w:rsid w:val="0046749F"/>
    <w:rsid w:val="00476965"/>
    <w:rsid w:val="00486079"/>
    <w:rsid w:val="00495856"/>
    <w:rsid w:val="004D3C8D"/>
    <w:rsid w:val="0054472F"/>
    <w:rsid w:val="00555537"/>
    <w:rsid w:val="00575E46"/>
    <w:rsid w:val="005C246E"/>
    <w:rsid w:val="005C72DA"/>
    <w:rsid w:val="006423AA"/>
    <w:rsid w:val="00662D08"/>
    <w:rsid w:val="00664B0A"/>
    <w:rsid w:val="00675E0E"/>
    <w:rsid w:val="006B7E12"/>
    <w:rsid w:val="006F0890"/>
    <w:rsid w:val="006F613E"/>
    <w:rsid w:val="00723871"/>
    <w:rsid w:val="00731F01"/>
    <w:rsid w:val="00753754"/>
    <w:rsid w:val="007564BF"/>
    <w:rsid w:val="00757D7B"/>
    <w:rsid w:val="00776915"/>
    <w:rsid w:val="007854E3"/>
    <w:rsid w:val="00792F72"/>
    <w:rsid w:val="007D4292"/>
    <w:rsid w:val="007E25CA"/>
    <w:rsid w:val="0081757B"/>
    <w:rsid w:val="00844D72"/>
    <w:rsid w:val="008746AC"/>
    <w:rsid w:val="0087652C"/>
    <w:rsid w:val="00890532"/>
    <w:rsid w:val="008A02C4"/>
    <w:rsid w:val="008A0747"/>
    <w:rsid w:val="008D760F"/>
    <w:rsid w:val="009201CC"/>
    <w:rsid w:val="00952733"/>
    <w:rsid w:val="00974BB5"/>
    <w:rsid w:val="009A03EF"/>
    <w:rsid w:val="009A0928"/>
    <w:rsid w:val="009D63F5"/>
    <w:rsid w:val="00A02C33"/>
    <w:rsid w:val="00A276AB"/>
    <w:rsid w:val="00A534BD"/>
    <w:rsid w:val="00A538B6"/>
    <w:rsid w:val="00A91E7E"/>
    <w:rsid w:val="00AA294D"/>
    <w:rsid w:val="00AB27DB"/>
    <w:rsid w:val="00AB50B1"/>
    <w:rsid w:val="00AC62EF"/>
    <w:rsid w:val="00B325EC"/>
    <w:rsid w:val="00B4122F"/>
    <w:rsid w:val="00B545A7"/>
    <w:rsid w:val="00BC4132"/>
    <w:rsid w:val="00BF5B39"/>
    <w:rsid w:val="00C01EF2"/>
    <w:rsid w:val="00C119A3"/>
    <w:rsid w:val="00C15441"/>
    <w:rsid w:val="00C33385"/>
    <w:rsid w:val="00C3568A"/>
    <w:rsid w:val="00CC07D5"/>
    <w:rsid w:val="00CE4085"/>
    <w:rsid w:val="00CE7221"/>
    <w:rsid w:val="00D263AC"/>
    <w:rsid w:val="00D36192"/>
    <w:rsid w:val="00D373CA"/>
    <w:rsid w:val="00D51A6A"/>
    <w:rsid w:val="00DC14DC"/>
    <w:rsid w:val="00DC6549"/>
    <w:rsid w:val="00DF6586"/>
    <w:rsid w:val="00E44FE6"/>
    <w:rsid w:val="00E93D79"/>
    <w:rsid w:val="00EF40A8"/>
    <w:rsid w:val="00F308F5"/>
    <w:rsid w:val="00F51789"/>
    <w:rsid w:val="00F54C72"/>
    <w:rsid w:val="00F827FC"/>
    <w:rsid w:val="00FC6172"/>
    <w:rsid w:val="00FD33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B1F1"/>
  <w15:chartTrackingRefBased/>
  <w15:docId w15:val="{C398A28C-F9D4-6947-A1A8-51B5BD83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E8"/>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CC"/>
    <w:pPr>
      <w:ind w:left="720"/>
      <w:contextualSpacing/>
    </w:pPr>
    <w:rPr>
      <w:rFonts w:asciiTheme="minorHAnsi" w:eastAsiaTheme="minorHAnsi" w:hAnsiTheme="minorHAnsi" w:cstheme="minorBidi"/>
      <w:kern w:val="2"/>
      <w:lang w:eastAsia="en-US"/>
      <w14:ligatures w14:val="standardContextual"/>
    </w:rPr>
  </w:style>
  <w:style w:type="character" w:customStyle="1" w:styleId="apple-converted-space">
    <w:name w:val="apple-converted-space"/>
    <w:basedOn w:val="DefaultParagraphFont"/>
    <w:rsid w:val="009201CC"/>
  </w:style>
  <w:style w:type="character" w:styleId="Hyperlink">
    <w:name w:val="Hyperlink"/>
    <w:basedOn w:val="DefaultParagraphFont"/>
    <w:uiPriority w:val="99"/>
    <w:unhideWhenUsed/>
    <w:rsid w:val="00AB27DB"/>
    <w:rPr>
      <w:color w:val="0563C1" w:themeColor="hyperlink"/>
      <w:u w:val="single"/>
    </w:rPr>
  </w:style>
  <w:style w:type="character" w:styleId="UnresolvedMention">
    <w:name w:val="Unresolved Mention"/>
    <w:basedOn w:val="DefaultParagraphFont"/>
    <w:uiPriority w:val="99"/>
    <w:semiHidden/>
    <w:unhideWhenUsed/>
    <w:rsid w:val="00AB27DB"/>
    <w:rPr>
      <w:color w:val="605E5C"/>
      <w:shd w:val="clear" w:color="auto" w:fill="E1DFDD"/>
    </w:rPr>
  </w:style>
  <w:style w:type="character" w:styleId="Emphasis">
    <w:name w:val="Emphasis"/>
    <w:basedOn w:val="DefaultParagraphFont"/>
    <w:uiPriority w:val="20"/>
    <w:qFormat/>
    <w:rsid w:val="00002F77"/>
    <w:rPr>
      <w:i/>
      <w:iCs/>
    </w:rPr>
  </w:style>
  <w:style w:type="paragraph" w:customStyle="1" w:styleId="c-bibliographic-informationcitation">
    <w:name w:val="c-bibliographic-information__citation"/>
    <w:basedOn w:val="Normal"/>
    <w:rsid w:val="0081757B"/>
    <w:pPr>
      <w:spacing w:before="100" w:beforeAutospacing="1" w:after="100" w:afterAutospacing="1"/>
    </w:pPr>
  </w:style>
  <w:style w:type="paragraph" w:styleId="Revision">
    <w:name w:val="Revision"/>
    <w:hidden/>
    <w:uiPriority w:val="99"/>
    <w:semiHidden/>
    <w:rsid w:val="00BF5B39"/>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A02C33"/>
    <w:rPr>
      <w:sz w:val="18"/>
      <w:szCs w:val="18"/>
    </w:rPr>
  </w:style>
  <w:style w:type="character" w:customStyle="1" w:styleId="BalloonTextChar">
    <w:name w:val="Balloon Text Char"/>
    <w:basedOn w:val="DefaultParagraphFont"/>
    <w:link w:val="BalloonText"/>
    <w:uiPriority w:val="99"/>
    <w:semiHidden/>
    <w:rsid w:val="00A02C33"/>
    <w:rPr>
      <w:rFonts w:ascii="Times New Roman" w:eastAsia="Times New Roman" w:hAnsi="Times New Roman" w:cs="Times New Roman"/>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8439">
      <w:bodyDiv w:val="1"/>
      <w:marLeft w:val="0"/>
      <w:marRight w:val="0"/>
      <w:marTop w:val="0"/>
      <w:marBottom w:val="0"/>
      <w:divBdr>
        <w:top w:val="none" w:sz="0" w:space="0" w:color="auto"/>
        <w:left w:val="none" w:sz="0" w:space="0" w:color="auto"/>
        <w:bottom w:val="none" w:sz="0" w:space="0" w:color="auto"/>
        <w:right w:val="none" w:sz="0" w:space="0" w:color="auto"/>
      </w:divBdr>
      <w:divsChild>
        <w:div w:id="297034683">
          <w:marLeft w:val="0"/>
          <w:marRight w:val="0"/>
          <w:marTop w:val="0"/>
          <w:marBottom w:val="0"/>
          <w:divBdr>
            <w:top w:val="none" w:sz="0" w:space="0" w:color="auto"/>
            <w:left w:val="none" w:sz="0" w:space="0" w:color="auto"/>
            <w:bottom w:val="none" w:sz="0" w:space="0" w:color="auto"/>
            <w:right w:val="none" w:sz="0" w:space="0" w:color="auto"/>
          </w:divBdr>
        </w:div>
      </w:divsChild>
    </w:div>
    <w:div w:id="858588301">
      <w:bodyDiv w:val="1"/>
      <w:marLeft w:val="0"/>
      <w:marRight w:val="0"/>
      <w:marTop w:val="0"/>
      <w:marBottom w:val="0"/>
      <w:divBdr>
        <w:top w:val="none" w:sz="0" w:space="0" w:color="auto"/>
        <w:left w:val="none" w:sz="0" w:space="0" w:color="auto"/>
        <w:bottom w:val="none" w:sz="0" w:space="0" w:color="auto"/>
        <w:right w:val="none" w:sz="0" w:space="0" w:color="auto"/>
      </w:divBdr>
      <w:divsChild>
        <w:div w:id="656611034">
          <w:marLeft w:val="240"/>
          <w:marRight w:val="0"/>
          <w:marTop w:val="0"/>
          <w:marBottom w:val="240"/>
          <w:divBdr>
            <w:top w:val="none" w:sz="0" w:space="0" w:color="auto"/>
            <w:left w:val="none" w:sz="0" w:space="0" w:color="auto"/>
            <w:bottom w:val="none" w:sz="0" w:space="0" w:color="auto"/>
            <w:right w:val="none" w:sz="0" w:space="0" w:color="auto"/>
          </w:divBdr>
        </w:div>
      </w:divsChild>
    </w:div>
    <w:div w:id="932592526">
      <w:bodyDiv w:val="1"/>
      <w:marLeft w:val="0"/>
      <w:marRight w:val="0"/>
      <w:marTop w:val="0"/>
      <w:marBottom w:val="0"/>
      <w:divBdr>
        <w:top w:val="none" w:sz="0" w:space="0" w:color="auto"/>
        <w:left w:val="none" w:sz="0" w:space="0" w:color="auto"/>
        <w:bottom w:val="none" w:sz="0" w:space="0" w:color="auto"/>
        <w:right w:val="none" w:sz="0" w:space="0" w:color="auto"/>
      </w:divBdr>
      <w:divsChild>
        <w:div w:id="1518345630">
          <w:marLeft w:val="0"/>
          <w:marRight w:val="0"/>
          <w:marTop w:val="0"/>
          <w:marBottom w:val="0"/>
          <w:divBdr>
            <w:top w:val="none" w:sz="0" w:space="0" w:color="auto"/>
            <w:left w:val="none" w:sz="0" w:space="0" w:color="auto"/>
            <w:bottom w:val="none" w:sz="0" w:space="0" w:color="auto"/>
            <w:right w:val="none" w:sz="0" w:space="0" w:color="auto"/>
          </w:divBdr>
        </w:div>
      </w:divsChild>
    </w:div>
    <w:div w:id="1064137364">
      <w:bodyDiv w:val="1"/>
      <w:marLeft w:val="0"/>
      <w:marRight w:val="0"/>
      <w:marTop w:val="0"/>
      <w:marBottom w:val="0"/>
      <w:divBdr>
        <w:top w:val="none" w:sz="0" w:space="0" w:color="auto"/>
        <w:left w:val="none" w:sz="0" w:space="0" w:color="auto"/>
        <w:bottom w:val="none" w:sz="0" w:space="0" w:color="auto"/>
        <w:right w:val="none" w:sz="0" w:space="0" w:color="auto"/>
      </w:divBdr>
      <w:divsChild>
        <w:div w:id="854533544">
          <w:marLeft w:val="0"/>
          <w:marRight w:val="0"/>
          <w:marTop w:val="0"/>
          <w:marBottom w:val="0"/>
          <w:divBdr>
            <w:top w:val="none" w:sz="0" w:space="0" w:color="auto"/>
            <w:left w:val="none" w:sz="0" w:space="0" w:color="auto"/>
            <w:bottom w:val="none" w:sz="0" w:space="0" w:color="auto"/>
            <w:right w:val="none" w:sz="0" w:space="0" w:color="auto"/>
          </w:divBdr>
        </w:div>
      </w:divsChild>
    </w:div>
    <w:div w:id="122749068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04">
          <w:marLeft w:val="0"/>
          <w:marRight w:val="0"/>
          <w:marTop w:val="0"/>
          <w:marBottom w:val="0"/>
          <w:divBdr>
            <w:top w:val="none" w:sz="0" w:space="0" w:color="auto"/>
            <w:left w:val="none" w:sz="0" w:space="0" w:color="auto"/>
            <w:bottom w:val="none" w:sz="0" w:space="0" w:color="auto"/>
            <w:right w:val="none" w:sz="0" w:space="0" w:color="auto"/>
          </w:divBdr>
        </w:div>
      </w:divsChild>
    </w:div>
    <w:div w:id="1357734571">
      <w:bodyDiv w:val="1"/>
      <w:marLeft w:val="0"/>
      <w:marRight w:val="0"/>
      <w:marTop w:val="0"/>
      <w:marBottom w:val="0"/>
      <w:divBdr>
        <w:top w:val="none" w:sz="0" w:space="0" w:color="auto"/>
        <w:left w:val="none" w:sz="0" w:space="0" w:color="auto"/>
        <w:bottom w:val="none" w:sz="0" w:space="0" w:color="auto"/>
        <w:right w:val="none" w:sz="0" w:space="0" w:color="auto"/>
      </w:divBdr>
    </w:div>
    <w:div w:id="1682202497">
      <w:bodyDiv w:val="1"/>
      <w:marLeft w:val="0"/>
      <w:marRight w:val="0"/>
      <w:marTop w:val="0"/>
      <w:marBottom w:val="0"/>
      <w:divBdr>
        <w:top w:val="none" w:sz="0" w:space="0" w:color="auto"/>
        <w:left w:val="none" w:sz="0" w:space="0" w:color="auto"/>
        <w:bottom w:val="none" w:sz="0" w:space="0" w:color="auto"/>
        <w:right w:val="none" w:sz="0" w:space="0" w:color="auto"/>
      </w:divBdr>
      <w:divsChild>
        <w:div w:id="1822309356">
          <w:marLeft w:val="0"/>
          <w:marRight w:val="0"/>
          <w:marTop w:val="0"/>
          <w:marBottom w:val="0"/>
          <w:divBdr>
            <w:top w:val="none" w:sz="0" w:space="0" w:color="auto"/>
            <w:left w:val="none" w:sz="0" w:space="0" w:color="auto"/>
            <w:bottom w:val="none" w:sz="0" w:space="0" w:color="auto"/>
            <w:right w:val="none" w:sz="0" w:space="0" w:color="auto"/>
          </w:divBdr>
        </w:div>
      </w:divsChild>
    </w:div>
    <w:div w:id="1960529125">
      <w:bodyDiv w:val="1"/>
      <w:marLeft w:val="0"/>
      <w:marRight w:val="0"/>
      <w:marTop w:val="0"/>
      <w:marBottom w:val="0"/>
      <w:divBdr>
        <w:top w:val="none" w:sz="0" w:space="0" w:color="auto"/>
        <w:left w:val="none" w:sz="0" w:space="0" w:color="auto"/>
        <w:bottom w:val="none" w:sz="0" w:space="0" w:color="auto"/>
        <w:right w:val="none" w:sz="0" w:space="0" w:color="auto"/>
      </w:divBdr>
      <w:divsChild>
        <w:div w:id="1134710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n152" TargetMode="External"/><Relationship Id="rId3" Type="http://schemas.openxmlformats.org/officeDocument/2006/relationships/settings" Target="settings.xml"/><Relationship Id="rId7" Type="http://schemas.openxmlformats.org/officeDocument/2006/relationships/hyperlink" Target="https://doi.org/10.1038/s43586-022-0013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nn.409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Barcellini</dc:creator>
  <cp:keywords/>
  <dc:description/>
  <cp:lastModifiedBy>Paul de Fontenay</cp:lastModifiedBy>
  <cp:revision>4</cp:revision>
  <dcterms:created xsi:type="dcterms:W3CDTF">2024-08-27T12:30:00Z</dcterms:created>
  <dcterms:modified xsi:type="dcterms:W3CDTF">2025-09-10T06:33:00Z</dcterms:modified>
</cp:coreProperties>
</file>